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hd w:fill="E8593C" w:color="auto" w:val="clear"/>
        <w:spacing w:after="180" w:before="0"/>
        <w:ind w:left="0"/>
      </w:pPr>
      <w:r>
        <w:rPr>
          <w:rFonts w:ascii="Arial" w:cs="Arial" w:eastAsia="Arial" w:hAnsi="Arial"/>
          <w:b/>
          <w:bCs/>
          <w:color w:val="FFFFFF"/>
          <w:sz w:val="17"/>
          <w:szCs w:val="17"/>
        </w:rPr>
        <w:t xml:space="preserve">K-li-T · Modèle ISO 9001:2026 · Paragraphes 8.2.1 (point e) et 7.4</w:t>
      </w:r>
    </w:p>
    <w:p>
      <w:pPr>
        <w:spacing w:after="60" w:before="0"/>
      </w:pPr>
      <w:r>
        <w:rPr>
          <w:rFonts w:ascii="Arial" w:cs="Arial" w:eastAsia="Arial" w:hAnsi="Arial"/>
          <w:b/>
          <w:bCs/>
          <w:color w:val="1A1816"/>
          <w:sz w:val="34"/>
          <w:szCs w:val="34"/>
        </w:rPr>
        <w:t xml:space="preserve">Règle d’alerte du client : cinq lignes</w:t>
      </w:r>
    </w:p>
    <w:p>
      <w:pPr>
        <w:spacing w:after="140" w:before="0"/>
      </w:pPr>
      <w:r>
        <w:rPr>
          <w:rFonts w:ascii="Arial" w:cs="Arial" w:eastAsia="Arial" w:hAnsi="Arial"/>
          <w:i/>
          <w:iCs/>
          <w:color w:val="5F5850"/>
          <w:sz w:val="19"/>
          <w:szCs w:val="19"/>
        </w:rPr>
        <w:t xml:space="preserve">Le point e de 8.2.1 demande que la communication avec les clients inclue les mesures d’urgence, y compris d’éventuelles perturbations dans la fourniture. Cette règle dit qui prévient, quand et comment. La règle d’or de terrain : on prévient dès que l’engagement est menacé, sans attendre la certitude.</w:t>
      </w:r>
    </w:p>
    <w:p>
      <w:pPr>
        <w:keepNext/>
        <w:pBdr>
          <w:bottom w:val="single" w:color="1D9E75" w:sz="6" w:space="2"/>
        </w:pBdr>
        <w:spacing w:after="100" w:before="200"/>
      </w:pPr>
      <w:r>
        <w:rPr>
          <w:rFonts w:ascii="Arial" w:cs="Arial" w:eastAsia="Arial" w:hAnsi="Arial"/>
          <w:b/>
          <w:bCs/>
          <w:color w:val="137252"/>
          <w:sz w:val="22"/>
          <w:szCs w:val="22"/>
        </w:rPr>
        <w:t xml:space="preserve">La règle en cinq lignes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900"/>
        <w:gridCol w:w="3300"/>
        <w:gridCol w:w="4706"/>
      </w:tblGrid>
      <w:tr>
        <w:trPr>
          <w:cantSplit/>
          <w:tblHeader/>
        </w:trPr>
        <w:tc>
          <w:tcPr>
            <w:tcW w:type="dxa" w:w="19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Ligne</w:t>
            </w:r>
          </w:p>
        </w:tc>
        <w:tc>
          <w:tcPr>
            <w:tcW w:type="dxa" w:w="33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Ce qu’elle précise</w:t>
            </w:r>
          </w:p>
        </w:tc>
        <w:tc>
          <w:tcPr>
            <w:tcW w:type="dxa" w:w="47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Notre règle</w:t>
            </w:r>
          </w:p>
        </w:tc>
      </w:tr>
      <w:tr>
        <w:trPr>
          <w:cantSplit/>
          <w:tblHeader w:val="false"/>
          <w:trHeight w:val="760"/>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1. Déclencheur</w:t>
            </w:r>
          </w:p>
        </w:tc>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6"/>
                <w:szCs w:val="16"/>
              </w:rPr>
              <w:t xml:space="preserve">La situation qui oblige à prévenir.</w:t>
            </w:r>
          </w:p>
        </w:tc>
        <w:tc>
          <w:tcPr>
            <w:tcW w:type="dxa" w:w="4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760"/>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2. Qui prévient</w:t>
            </w:r>
          </w:p>
        </w:tc>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6"/>
                <w:szCs w:val="16"/>
              </w:rPr>
              <w:t xml:space="preserve">Une personne désignée, et son suppléant.</w:t>
            </w:r>
          </w:p>
        </w:tc>
        <w:tc>
          <w:tcPr>
            <w:tcW w:type="dxa" w:w="4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760"/>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3. Délai</w:t>
            </w:r>
          </w:p>
        </w:tc>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6"/>
                <w:szCs w:val="16"/>
              </w:rPr>
              <w:t xml:space="preserve">Le temps maximal après la détection, selon le client ou la gravité.</w:t>
            </w:r>
          </w:p>
        </w:tc>
        <w:tc>
          <w:tcPr>
            <w:tcW w:type="dxa" w:w="4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760"/>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4. Contenu</w:t>
            </w:r>
          </w:p>
        </w:tc>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6"/>
                <w:szCs w:val="16"/>
              </w:rPr>
              <w:t xml:space="preserve">Les cinq éléments du message : faits, effet pour le client, actions, demande ou proposition, prochain point.</w:t>
            </w:r>
          </w:p>
        </w:tc>
        <w:tc>
          <w:tcPr>
            <w:tcW w:type="dxa" w:w="4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760"/>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5. Trace</w:t>
            </w:r>
          </w:p>
        </w:tc>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6"/>
                <w:szCs w:val="16"/>
              </w:rPr>
              <w:t xml:space="preserve">Où l’alerte est consignée : journal des alertes, e-mail conservé.</w:t>
            </w:r>
          </w:p>
        </w:tc>
        <w:tc>
          <w:tcPr>
            <w:tcW w:type="dxa" w:w="4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bl>
    <w:p>
      <w:pPr>
        <w:keepNext/>
        <w:pBdr>
          <w:bottom w:val="single" w:color="1D9E75" w:sz="6" w:space="2"/>
        </w:pBdr>
        <w:spacing w:after="100" w:before="200"/>
      </w:pPr>
      <w:r>
        <w:rPr>
          <w:rFonts w:ascii="Arial" w:cs="Arial" w:eastAsia="Arial" w:hAnsi="Arial"/>
          <w:b/>
          <w:bCs/>
          <w:color w:val="137252"/>
          <w:sz w:val="22"/>
          <w:szCs w:val="22"/>
        </w:rPr>
        <w:t xml:space="preserve">Déclencheurs à ajuster selon vos contrats et vos clients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000"/>
        <w:gridCol w:w="3700"/>
        <w:gridCol w:w="3206"/>
      </w:tblGrid>
      <w:tr>
        <w:trPr>
          <w:cantSplit/>
          <w:tblHeader/>
        </w:trPr>
        <w:tc>
          <w:tcPr>
            <w:tcW w:type="dxa" w:w="30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Situation</w:t>
            </w:r>
          </w:p>
        </w:tc>
        <w:tc>
          <w:tcPr>
            <w:tcW w:type="dxa" w:w="37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Déclencheur proposé</w:t>
            </w:r>
          </w:p>
        </w:tc>
        <w:tc>
          <w:tcPr>
            <w:tcW w:type="dxa" w:w="32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Notre déclencheur</w:t>
            </w:r>
          </w:p>
        </w:tc>
      </w:tr>
      <w:tr>
        <w:trPr>
          <w:cantSplit/>
          <w:tblHeader w:val="false"/>
          <w:trHeight w:val="520"/>
        </w:trPr>
        <w:tc>
          <w:tcPr>
            <w:tcW w:type="dxa" w:w="3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Retard de livraison</w:t>
            </w:r>
          </w:p>
        </w:tc>
        <w:tc>
          <w:tcPr>
            <w:tcW w:type="dxa" w:w="3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Dès qu’un retard devient probable sur une date confirmée</w:t>
            </w:r>
          </w:p>
        </w:tc>
        <w:tc>
          <w:tcPr>
            <w:tcW w:type="dxa" w:w="32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520"/>
        </w:trPr>
        <w:tc>
          <w:tcPr>
            <w:tcW w:type="dxa" w:w="3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Panne d’un moyen critique</w:t>
            </w:r>
          </w:p>
        </w:tc>
        <w:tc>
          <w:tcPr>
            <w:tcW w:type="dxa" w:w="3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Dès que la panne dépasse le délai de réparation habituel</w:t>
            </w:r>
          </w:p>
        </w:tc>
        <w:tc>
          <w:tcPr>
            <w:tcW w:type="dxa" w:w="32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520"/>
        </w:trPr>
        <w:tc>
          <w:tcPr>
            <w:tcW w:type="dxa" w:w="3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Rupture d’approvisionnement</w:t>
            </w:r>
          </w:p>
        </w:tc>
        <w:tc>
          <w:tcPr>
            <w:tcW w:type="dxa" w:w="3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Dès que la rupture compromet la date promise</w:t>
            </w:r>
          </w:p>
        </w:tc>
        <w:tc>
          <w:tcPr>
            <w:tcW w:type="dxa" w:w="32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520"/>
        </w:trPr>
        <w:tc>
          <w:tcPr>
            <w:tcW w:type="dxa" w:w="30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Non-conformité détectée sur des pièces déjà livrées</w:t>
            </w:r>
          </w:p>
        </w:tc>
        <w:tc>
          <w:tcPr>
            <w:tcW w:type="dxa" w:w="3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Dès la décision de confinement</w:t>
            </w:r>
          </w:p>
        </w:tc>
        <w:tc>
          <w:tcPr>
            <w:tcW w:type="dxa" w:w="32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bl>
    <w:p>
      <w:pPr>
        <w:keepNext/>
        <w:pBdr>
          <w:bottom w:val="single" w:color="1D9E75" w:sz="6" w:space="2"/>
        </w:pBdr>
        <w:spacing w:after="100" w:before="200"/>
      </w:pPr>
      <w:r>
        <w:rPr>
          <w:rFonts w:ascii="Arial" w:cs="Arial" w:eastAsia="Arial" w:hAnsi="Arial"/>
          <w:b/>
          <w:bCs/>
          <w:color w:val="137252"/>
          <w:sz w:val="22"/>
          <w:szCs w:val="22"/>
        </w:rPr>
        <w:t xml:space="preserve">Choisir le canal selon la gravité</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400"/>
        <w:gridCol w:w="2800"/>
        <w:gridCol w:w="2400"/>
        <w:gridCol w:w="2306"/>
      </w:tblGrid>
      <w:tr>
        <w:trPr>
          <w:cantSplit/>
          <w:tblHeader/>
        </w:trPr>
        <w:tc>
          <w:tcPr>
            <w:tcW w:type="dxa" w:w="24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Gravité</w:t>
            </w:r>
          </w:p>
        </w:tc>
        <w:tc>
          <w:tcPr>
            <w:tcW w:type="dxa" w:w="28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Canal direct</w:t>
            </w:r>
          </w:p>
        </w:tc>
        <w:tc>
          <w:tcPr>
            <w:tcW w:type="dxa" w:w="24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Canal indirect</w:t>
            </w:r>
          </w:p>
        </w:tc>
        <w:tc>
          <w:tcPr>
            <w:tcW w:type="dxa" w:w="23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Notre choix</w:t>
            </w:r>
          </w:p>
        </w:tc>
      </w:tr>
      <w:tr>
        <w:trPr>
          <w:cantSplit/>
          <w:tblHeader w:val="false"/>
          <w:trHeight w:val="560"/>
        </w:trPr>
        <w:tc>
          <w:tcPr>
            <w:tcW w:type="dxa" w:w="24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Élevée : client clé, produit sensible</w:t>
            </w:r>
          </w:p>
        </w:tc>
        <w:tc>
          <w:tcPr>
            <w:tcW w:type="dxa" w:w="2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Appel téléphonique, confirmé par écrit</w:t>
            </w:r>
          </w:p>
        </w:tc>
        <w:tc>
          <w:tcPr>
            <w:tcW w:type="dxa" w:w="2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Aucun</w:t>
            </w:r>
          </w:p>
        </w:tc>
        <w:tc>
          <w:tcPr>
            <w:tcW w:type="dxa" w:w="2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560"/>
        </w:trPr>
        <w:tc>
          <w:tcPr>
            <w:tcW w:type="dxa" w:w="24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Moyenne : retard de quelques jours</w:t>
            </w:r>
          </w:p>
        </w:tc>
        <w:tc>
          <w:tcPr>
            <w:tcW w:type="dxa" w:w="2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E-mail avec demande d’accusé de réception</w:t>
            </w:r>
          </w:p>
        </w:tc>
        <w:tc>
          <w:tcPr>
            <w:tcW w:type="dxa" w:w="2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Espace client, si vous en avez un</w:t>
            </w:r>
          </w:p>
        </w:tc>
        <w:tc>
          <w:tcPr>
            <w:tcW w:type="dxa" w:w="2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640"/>
        </w:trPr>
        <w:tc>
          <w:tcPr>
            <w:tcW w:type="dxa" w:w="24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Générale : arrêt prolongé, intempérie, fermeture</w:t>
            </w:r>
          </w:p>
        </w:tc>
        <w:tc>
          <w:tcPr>
            <w:tcW w:type="dxa" w:w="2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Message aux clients concernés</w:t>
            </w:r>
          </w:p>
        </w:tc>
        <w:tc>
          <w:tcPr>
            <w:tcW w:type="dxa" w:w="2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Page du site Internet, FAQ, message aux abonnés</w:t>
            </w:r>
          </w:p>
        </w:tc>
        <w:tc>
          <w:tcPr>
            <w:tcW w:type="dxa" w:w="2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bl>
    <w:p>
      <w:pPr>
        <w:spacing w:after="60" w:before="100"/>
      </w:pPr>
      <w:r>
        <w:rPr>
          <w:rFonts w:ascii="Arial" w:cs="Arial" w:eastAsia="Arial" w:hAnsi="Arial"/>
          <w:i/>
          <w:iCs/>
          <w:color w:val="5F5850"/>
          <w:sz w:val="16"/>
          <w:szCs w:val="16"/>
        </w:rPr>
        <w:t xml:space="preserve">Modèle fondé sur le point e de 8.2.1 et sa note, sur 7.4 et sur l’annexe A.8.2 de l’EN ISO 9001:2026, reformulés avec nos propres mots ; seul le texte officiel fait foi. Les déclencheurs, la règle en cinq lignes et les canaux par gravité sont des repères de terrain de K-li-T ; vos contrats peuvent imposer des obligations propres.</w:t>
      </w:r>
    </w:p>
    <w:p>
      <w:pPr>
        <w:pageBreakBefore/>
        <w:shd w:fill="E8593C" w:color="auto" w:val="clear"/>
        <w:spacing w:after="180" w:before="0"/>
        <w:ind w:left="0"/>
      </w:pPr>
      <w:r>
        <w:rPr>
          <w:rFonts w:ascii="Arial" w:cs="Arial" w:eastAsia="Arial" w:hAnsi="Arial"/>
          <w:b/>
          <w:bCs/>
          <w:color w:val="FFFFFF"/>
          <w:sz w:val="17"/>
          <w:szCs w:val="17"/>
        </w:rPr>
        <w:t xml:space="preserve">K-li-T · Modèle ISO 9001:2026 · Messages types</w:t>
      </w:r>
    </w:p>
    <w:p>
      <w:pPr>
        <w:spacing w:after="60" w:before="0"/>
      </w:pPr>
      <w:r>
        <w:rPr>
          <w:rFonts w:ascii="Arial" w:cs="Arial" w:eastAsia="Arial" w:hAnsi="Arial"/>
          <w:b/>
          <w:bCs/>
          <w:color w:val="1A1816"/>
          <w:sz w:val="34"/>
          <w:szCs w:val="34"/>
        </w:rPr>
        <w:t xml:space="preserve">Messages types : cinq éléments, dans cet ordre</w:t>
      </w:r>
    </w:p>
    <w:p>
      <w:pPr>
        <w:spacing w:after="140" w:before="0"/>
      </w:pPr>
      <w:r>
        <w:rPr>
          <w:rFonts w:ascii="Arial" w:cs="Arial" w:eastAsia="Arial" w:hAnsi="Arial"/>
          <w:i/>
          <w:iCs/>
          <w:color w:val="5F5850"/>
          <w:sz w:val="19"/>
          <w:szCs w:val="19"/>
        </w:rPr>
        <w:t xml:space="preserve">Un message de perturbation utile dit les faits sans détour, l’effet pour le client, ce que vous faites, ce que vous proposez ou demandez, et la date du prochain point.</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981"/>
        <w:gridCol w:w="1981"/>
        <w:gridCol w:w="1981"/>
        <w:gridCol w:w="1981"/>
        <w:gridCol w:w="1982"/>
      </w:tblGrid>
      <w:tr>
        <w:trPr>
          <w:cantSplit/>
          <w:tblHeader/>
        </w:trPr>
        <w:tc>
          <w:tcPr>
            <w:tcW w:type="dxa" w:w="1981"/>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1. Les faits</w:t>
            </w:r>
          </w:p>
        </w:tc>
        <w:tc>
          <w:tcPr>
            <w:tcW w:type="dxa" w:w="1981"/>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2. L’effet pour le client</w:t>
            </w:r>
          </w:p>
        </w:tc>
        <w:tc>
          <w:tcPr>
            <w:tcW w:type="dxa" w:w="1981"/>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3. Ce que nous faisons</w:t>
            </w:r>
          </w:p>
        </w:tc>
        <w:tc>
          <w:tcPr>
            <w:tcW w:type="dxa" w:w="1981"/>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4. Ce que nous proposons ou demandons</w:t>
            </w:r>
          </w:p>
        </w:tc>
        <w:tc>
          <w:tcPr>
            <w:tcW w:type="dxa" w:w="1982"/>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5. Le prochain point</w:t>
            </w:r>
          </w:p>
        </w:tc>
      </w:tr>
      <w:tr>
        <w:trPr>
          <w:cantSplit/>
          <w:tblHeader w:val="false"/>
          <w:trHeight w:val="640"/>
        </w:trPr>
        <w:tc>
          <w:tcPr>
            <w:tcW w:type="dxa" w:w="1981"/>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6"/>
                <w:szCs w:val="16"/>
              </w:rPr>
              <w:t xml:space="preserve">Ce qui s’est passé, sans détour</w:t>
            </w:r>
          </w:p>
        </w:tc>
        <w:tc>
          <w:tcPr>
            <w:tcW w:type="dxa" w:w="1981"/>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6"/>
                <w:szCs w:val="16"/>
              </w:rPr>
              <w:t xml:space="preserve">Quelles livraisons, quelles dates</w:t>
            </w:r>
          </w:p>
        </w:tc>
        <w:tc>
          <w:tcPr>
            <w:tcW w:type="dxa" w:w="1981"/>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6"/>
                <w:szCs w:val="16"/>
              </w:rPr>
              <w:t xml:space="preserve">Solution de repli, reprise prévue</w:t>
            </w:r>
          </w:p>
        </w:tc>
        <w:tc>
          <w:tcPr>
            <w:tcW w:type="dxa" w:w="1981"/>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6"/>
                <w:szCs w:val="16"/>
              </w:rPr>
              <w:t xml:space="preserve">Priorités, livraison partielle, accord sur une date</w:t>
            </w:r>
          </w:p>
        </w:tc>
        <w:tc>
          <w:tcPr>
            <w:tcW w:type="dxa" w:w="1982"/>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6"/>
                <w:szCs w:val="16"/>
              </w:rPr>
              <w:t xml:space="preserve">Date et heure de la prochaine information</w:t>
            </w:r>
          </w:p>
        </w:tc>
      </w:tr>
    </w:tbl>
    <w:p>
      <w:pPr>
        <w:keepNext/>
        <w:pBdr>
          <w:bottom w:val="single" w:color="1D9E75" w:sz="6" w:space="2"/>
        </w:pBdr>
        <w:spacing w:after="100" w:before="200"/>
      </w:pPr>
      <w:r>
        <w:rPr>
          <w:rFonts w:ascii="Arial" w:cs="Arial" w:eastAsia="Arial" w:hAnsi="Arial"/>
          <w:b/>
          <w:bCs/>
          <w:color w:val="137252"/>
          <w:sz w:val="22"/>
          <w:szCs w:val="22"/>
        </w:rPr>
        <w:t xml:space="preserve">Trois messages types, à adapter</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500"/>
        <w:gridCol w:w="8406"/>
      </w:tblGrid>
      <w:tr>
        <w:trPr>
          <w:cantSplit/>
          <w:tblHeader w:val="false"/>
          <w:trHeight w:val="1100"/>
        </w:trPr>
        <w:tc>
          <w:tcPr>
            <w:tcW w:type="dxa" w:w="15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Retard</w:t>
            </w:r>
          </w:p>
        </w:tc>
        <w:tc>
          <w:tcPr>
            <w:tcW w:type="dxa" w:w="8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Votre commande n° [X], prévue le [date], sera livrée le [nouvelle date] en raison de [cause en une phrase]. Nous avons [action]. Souhaitez-vous une livraison partielle de [quantité] dès le [date] ? Nous vous confirmons la date définitive d’ici le [date]. »</w:t>
            </w:r>
          </w:p>
        </w:tc>
      </w:tr>
      <w:tr>
        <w:trPr>
          <w:cantSplit/>
          <w:tblHeader w:val="false"/>
          <w:trHeight w:val="1100"/>
        </w:trPr>
        <w:tc>
          <w:tcPr>
            <w:tcW w:type="dxa" w:w="15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Panne</w:t>
            </w:r>
          </w:p>
        </w:tc>
        <w:tc>
          <w:tcPr>
            <w:tcW w:type="dxa" w:w="8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Une panne sur [moyen] affecte votre série [référence]. Nous avons mobilisé [solution de repli] et prévoyons une reprise le [date]. Les livraisons du [période] sont concernées. Nous vous appelons demain à [heure] pour valider les priorités. »</w:t>
            </w:r>
          </w:p>
        </w:tc>
      </w:tr>
      <w:tr>
        <w:trPr>
          <w:cantSplit/>
          <w:tblHeader w:val="false"/>
          <w:trHeight w:val="1000"/>
        </w:trPr>
        <w:tc>
          <w:tcPr>
            <w:tcW w:type="dxa" w:w="15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Rupture</w:t>
            </w:r>
          </w:p>
        </w:tc>
        <w:tc>
          <w:tcPr>
            <w:tcW w:type="dxa" w:w="8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Notre fournisseur de [matière] annonce un retard d’environ [durée]. Nous avons demandé [action] et vous informerons de l’impact sur votre commande d’ici le [date]. Pouvez-vous nous indiquer quelles références sont prioritaires ? »</w:t>
            </w:r>
          </w:p>
        </w:tc>
      </w:tr>
    </w:tbl>
    <w:p>
      <w:pPr>
        <w:keepNext/>
        <w:pBdr>
          <w:bottom w:val="single" w:color="1D9E75" w:sz="6" w:space="2"/>
        </w:pBdr>
        <w:spacing w:after="100" w:before="200"/>
      </w:pPr>
      <w:r>
        <w:rPr>
          <w:rFonts w:ascii="Arial" w:cs="Arial" w:eastAsia="Arial" w:hAnsi="Arial"/>
          <w:b/>
          <w:bCs/>
          <w:color w:val="137252"/>
          <w:sz w:val="22"/>
          <w:szCs w:val="22"/>
        </w:rPr>
        <w:t xml:space="preserve">À ne pas oublier : le message de retour à la normale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500"/>
        <w:gridCol w:w="8406"/>
      </w:tblGrid>
      <w:tr>
        <w:trPr>
          <w:cantSplit/>
          <w:tblHeader w:val="false"/>
          <w:trHeight w:val="900"/>
        </w:trPr>
        <w:tc>
          <w:tcPr>
            <w:tcW w:type="dxa" w:w="15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Rétabli</w:t>
            </w:r>
          </w:p>
        </w:tc>
        <w:tc>
          <w:tcPr>
            <w:tcW w:type="dxa" w:w="8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La situation concernant [cause] est rétablie. Votre commande n° [X] sera livrée le [date], comme annoncé lors de notre dernier point. [Nom] reste votre contact pour toute question. »</w:t>
            </w:r>
          </w:p>
        </w:tc>
      </w:tr>
    </w:tbl>
    <w:p>
      <w:pPr>
        <w:keepNext/>
        <w:pBdr>
          <w:bottom w:val="single" w:color="1D9E75" w:sz="6" w:space="2"/>
        </w:pBdr>
        <w:spacing w:after="100" w:before="200"/>
      </w:pPr>
      <w:r>
        <w:rPr>
          <w:rFonts w:ascii="Arial" w:cs="Arial" w:eastAsia="Arial" w:hAnsi="Arial"/>
          <w:b/>
          <w:bCs/>
          <w:color w:val="137252"/>
          <w:sz w:val="22"/>
          <w:szCs w:val="22"/>
        </w:rPr>
        <w:t xml:space="preserve">Trois réflexes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2"/>
        <w:gridCol w:w="3302"/>
        <w:gridCol w:w="3302"/>
      </w:tblGrid>
      <w:tr>
        <w:trPr>
          <w:cantSplit/>
          <w:tblHeader w:val="false"/>
        </w:trPr>
        <w:tc>
          <w:tcPr>
            <w:tcW w:type="dxa" w:w="3302"/>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Ne mettez pas de date que vous n’avez pas vérifiée : une date révisée tenue vaut mieux que deux dates manquées.</w:t>
            </w:r>
          </w:p>
        </w:tc>
        <w:tc>
          <w:tcPr>
            <w:tcW w:type="dxa" w:w="3302"/>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Ne désignez pas un fournisseur ou un collègue comme coupable : le client attend une solution.</w:t>
            </w:r>
          </w:p>
        </w:tc>
        <w:tc>
          <w:tcPr>
            <w:tcW w:type="dxa" w:w="3302"/>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Un appel est toujours suivi d’un écrit : c’est la trace, et c’est aussi la politesse.</w:t>
            </w:r>
          </w:p>
        </w:tc>
      </w:tr>
    </w:tbl>
    <w:p>
      <w:pPr>
        <w:spacing w:after="60" w:before="100"/>
      </w:pPr>
      <w:r>
        <w:rPr>
          <w:rFonts w:ascii="Arial" w:cs="Arial" w:eastAsia="Arial" w:hAnsi="Arial"/>
          <w:i/>
          <w:iCs/>
          <w:color w:val="5F5850"/>
          <w:sz w:val="16"/>
          <w:szCs w:val="16"/>
        </w:rPr>
        <w:t xml:space="preserve">Les trois messages types et les réflexes sont des repères de terrain de K-li-T. Les crochets sont à remplir ; supprimez les phrases qui ne s’appliquent pas.</w:t>
      </w:r>
    </w:p>
    <w:p>
      <w:pPr>
        <w:pageBreakBefore/>
        <w:shd w:fill="E8593C" w:color="auto" w:val="clear"/>
        <w:spacing w:after="180" w:before="0"/>
        <w:ind w:left="0"/>
      </w:pPr>
      <w:r>
        <w:rPr>
          <w:rFonts w:ascii="Arial" w:cs="Arial" w:eastAsia="Arial" w:hAnsi="Arial"/>
          <w:b/>
          <w:bCs/>
          <w:color w:val="FFFFFF"/>
          <w:sz w:val="17"/>
          <w:szCs w:val="17"/>
        </w:rPr>
        <w:t xml:space="preserve">K-li-T · Modèle ISO 9001:2026 · Journal des alertes</w:t>
      </w:r>
    </w:p>
    <w:p>
      <w:pPr>
        <w:spacing w:after="60" w:before="0"/>
      </w:pPr>
      <w:r>
        <w:rPr>
          <w:rFonts w:ascii="Arial" w:cs="Arial" w:eastAsia="Arial" w:hAnsi="Arial"/>
          <w:b/>
          <w:bCs/>
          <w:color w:val="1A1816"/>
          <w:sz w:val="34"/>
          <w:szCs w:val="34"/>
        </w:rPr>
        <w:t xml:space="preserve">Journal des alertes : une page</w:t>
      </w:r>
    </w:p>
    <w:p>
      <w:pPr>
        <w:spacing w:after="140" w:before="0"/>
      </w:pPr>
      <w:r>
        <w:rPr>
          <w:rFonts w:ascii="Arial" w:cs="Arial" w:eastAsia="Arial" w:hAnsi="Arial"/>
          <w:i/>
          <w:iCs/>
          <w:color w:val="5F5850"/>
          <w:sz w:val="19"/>
          <w:szCs w:val="19"/>
        </w:rPr>
        <w:t xml:space="preserve">Il sert à trois choses : montrer à l’auditeur que la règle fonctionne, repérer les causes qui reviennent (fournisseur, machine, planning) et alimenter la revue de direction. La réponse du client est aussi un retour d’information (8.2.1, point c).</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250"/>
        <w:gridCol w:w="1950"/>
        <w:gridCol w:w="1650"/>
        <w:gridCol w:w="2000"/>
        <w:gridCol w:w="1500"/>
        <w:gridCol w:w="1556"/>
      </w:tblGrid>
      <w:tr>
        <w:trPr>
          <w:cantSplit/>
          <w:tblHeader/>
        </w:trPr>
        <w:tc>
          <w:tcPr>
            <w:tcW w:type="dxa" w:w="12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Date et heure de détection</w:t>
            </w:r>
          </w:p>
        </w:tc>
        <w:tc>
          <w:tcPr>
            <w:tcW w:type="dxa" w:w="19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Événement</w:t>
            </w:r>
          </w:p>
        </w:tc>
        <w:tc>
          <w:tcPr>
            <w:tcW w:type="dxa" w:w="16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Clients concernés</w:t>
            </w:r>
          </w:p>
        </w:tc>
        <w:tc>
          <w:tcPr>
            <w:tcW w:type="dxa" w:w="20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Qui a prévenu, par quel canal, à quelle heure</w:t>
            </w:r>
          </w:p>
        </w:tc>
        <w:tc>
          <w:tcPr>
            <w:tcW w:type="dxa" w:w="15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Réponse du client</w:t>
            </w:r>
          </w:p>
        </w:tc>
        <w:tc>
          <w:tcPr>
            <w:tcW w:type="dxa" w:w="155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Suite ou cause à traiter</w:t>
            </w:r>
          </w:p>
        </w:tc>
      </w:tr>
      <w:tr>
        <w:trPr>
          <w:cantSplit/>
          <w:tblHeader w:val="false"/>
          <w:trHeight w:val="640"/>
        </w:trPr>
        <w:tc>
          <w:tcPr>
            <w:tcW w:type="dxa" w:w="12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9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6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5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640"/>
        </w:trPr>
        <w:tc>
          <w:tcPr>
            <w:tcW w:type="dxa" w:w="12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9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6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5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640"/>
        </w:trPr>
        <w:tc>
          <w:tcPr>
            <w:tcW w:type="dxa" w:w="12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9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6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5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640"/>
        </w:trPr>
        <w:tc>
          <w:tcPr>
            <w:tcW w:type="dxa" w:w="12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9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6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5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640"/>
        </w:trPr>
        <w:tc>
          <w:tcPr>
            <w:tcW w:type="dxa" w:w="12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9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6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5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640"/>
        </w:trPr>
        <w:tc>
          <w:tcPr>
            <w:tcW w:type="dxa" w:w="12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9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6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5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640"/>
        </w:trPr>
        <w:tc>
          <w:tcPr>
            <w:tcW w:type="dxa" w:w="12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9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6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5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r>
        <w:trPr>
          <w:cantSplit/>
          <w:tblHeader w:val="false"/>
          <w:trHeight w:val="640"/>
        </w:trPr>
        <w:tc>
          <w:tcPr>
            <w:tcW w:type="dxa" w:w="12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9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6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c>
          <w:tcPr>
            <w:tcW w:type="dxa" w:w="15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bl>
    <w:p>
      <w:pPr>
        <w:keepNext/>
        <w:pBdr>
          <w:bottom w:val="single" w:color="1D9E75" w:sz="6" w:space="2"/>
        </w:pBdr>
        <w:spacing w:after="100" w:before="200"/>
      </w:pPr>
      <w:r>
        <w:rPr>
          <w:rFonts w:ascii="Arial" w:cs="Arial" w:eastAsia="Arial" w:hAnsi="Arial"/>
          <w:b/>
          <w:bCs/>
          <w:color w:val="137252"/>
          <w:sz w:val="22"/>
          <w:szCs w:val="22"/>
        </w:rPr>
        <w:t xml:space="preserve">Bilan annuel du journal</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0"/>
        <w:gridCol w:w="6606"/>
      </w:tblGrid>
      <w:tr>
        <w:trPr>
          <w:cantSplit/>
          <w:tblHeader w:val="false"/>
          <w:trHeight w:val="620"/>
        </w:trPr>
        <w:tc>
          <w:tcPr>
            <w:tcW w:type="dxa" w:w="3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Causes qui reviennent</w:t>
            </w:r>
          </w:p>
        </w:tc>
        <w:tc>
          <w:tcPr>
            <w:tcW w:type="dxa" w:w="6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6"/>
                <w:szCs w:val="16"/>
              </w:rPr>
              <w:t xml:space="preserve">Fournisseur, machine, planning… Inscrivez-les au tableau des risques.</w:t>
            </w:r>
          </w:p>
        </w:tc>
      </w:tr>
      <w:tr>
        <w:trPr>
          <w:cantSplit/>
          <w:tblHeader w:val="false"/>
          <w:trHeight w:val="620"/>
        </w:trPr>
        <w:tc>
          <w:tcPr>
            <w:tcW w:type="dxa" w:w="3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À présenter en revue de direction</w:t>
            </w:r>
          </w:p>
        </w:tc>
        <w:tc>
          <w:tcPr>
            <w:tcW w:type="dxa" w:w="66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w:t>
            </w:r>
          </w:p>
        </w:tc>
      </w:tr>
    </w:tbl>
    <w:p>
      <w:pPr>
        <w:pageBreakBefore/>
        <w:shd w:fill="1D9E75" w:color="auto" w:val="clear"/>
        <w:spacing w:after="180" w:before="0"/>
        <w:ind w:left="0"/>
      </w:pPr>
      <w:r>
        <w:rPr>
          <w:rFonts w:ascii="Arial" w:cs="Arial" w:eastAsia="Arial" w:hAnsi="Arial"/>
          <w:b/>
          <w:bCs/>
          <w:color w:val="FFFFFF"/>
          <w:sz w:val="17"/>
          <w:szCs w:val="17"/>
        </w:rPr>
        <w:t xml:space="preserve">Exemple rempli (fictif) · entreprise de décolletage de cinquante personnes</w:t>
      </w:r>
    </w:p>
    <w:p>
      <w:pPr>
        <w:spacing w:after="60" w:before="0"/>
      </w:pPr>
      <w:r>
        <w:rPr>
          <w:rFonts w:ascii="Arial" w:cs="Arial" w:eastAsia="Arial" w:hAnsi="Arial"/>
          <w:b/>
          <w:bCs/>
          <w:color w:val="1A1816"/>
          <w:sz w:val="34"/>
          <w:szCs w:val="34"/>
        </w:rPr>
        <w:t xml:space="preserve">Notre règle d’alerte du client</w:t>
      </w:r>
    </w:p>
    <w:p>
      <w:pPr>
        <w:spacing w:after="140" w:before="0"/>
      </w:pPr>
      <w:r>
        <w:rPr>
          <w:rFonts w:ascii="Arial" w:cs="Arial" w:eastAsia="Arial" w:hAnsi="Arial"/>
          <w:i/>
          <w:iCs/>
          <w:color w:val="5F5850"/>
          <w:sz w:val="19"/>
          <w:szCs w:val="19"/>
        </w:rPr>
        <w:t xml:space="preserve">Valable pour toute situation qui menace une date confirmée. Les valeurs sont des exemples à définir avec vos clients et vos contrats.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900"/>
        <w:gridCol w:w="8006"/>
      </w:tblGrid>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1. Déclencheur</w:t>
            </w:r>
          </w:p>
        </w:tc>
        <w:tc>
          <w:tcPr>
            <w:tcW w:type="dxa" w:w="8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Retard probable de plus d’un jour ouvré sur une date confirmée.</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2. Qui prévient</w:t>
            </w:r>
          </w:p>
        </w:tc>
        <w:tc>
          <w:tcPr>
            <w:tcW w:type="dxa" w:w="8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Le responsable commercial, suppléé par l’assistante de direction.</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3. Délai</w:t>
            </w:r>
          </w:p>
        </w:tc>
        <w:tc>
          <w:tcPr>
            <w:tcW w:type="dxa" w:w="8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Dans la demi-journée pour un client clé, dans la journée pour les autres.</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4. Contenu</w:t>
            </w:r>
          </w:p>
        </w:tc>
        <w:tc>
          <w:tcPr>
            <w:tcW w:type="dxa" w:w="8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Faits, effet pour le client, actions, demande ou proposition, prochain point.</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5. Trace</w:t>
            </w:r>
          </w:p>
        </w:tc>
        <w:tc>
          <w:tcPr>
            <w:tcW w:type="dxa" w:w="8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Journal des alertes, e-mail conservé.</w:t>
            </w:r>
          </w:p>
        </w:tc>
      </w:tr>
    </w:tbl>
    <w:p>
      <w:pPr>
        <w:keepNext/>
        <w:pBdr>
          <w:bottom w:val="single" w:color="1D9E75" w:sz="6" w:space="2"/>
        </w:pBdr>
        <w:spacing w:after="100" w:before="200"/>
      </w:pPr>
      <w:r>
        <w:rPr>
          <w:rFonts w:ascii="Arial" w:cs="Arial" w:eastAsia="Arial" w:hAnsi="Arial"/>
          <w:b/>
          <w:bCs/>
          <w:color w:val="137252"/>
          <w:sz w:val="22"/>
          <w:szCs w:val="22"/>
        </w:rPr>
        <w:t xml:space="preserve">Le cas : une rupture de matière, un lundi matin</w:t>
      </w:r>
    </w:p>
    <w:p>
      <w:pPr>
        <w:spacing w:after="80" w:before="0"/>
      </w:pPr>
      <w:r>
        <w:rPr>
          <w:rFonts w:ascii="Arial" w:cs="Arial" w:eastAsia="Arial" w:hAnsi="Arial"/>
          <w:color w:val="1A1816"/>
          <w:sz w:val="18"/>
          <w:szCs w:val="18"/>
        </w:rPr>
        <w:t xml:space="preserve">Le fournisseur de barres d’acier retarde sa livraison de quatre jours. Deux clients sont concernés, dont l’un a une série à expédier vendredi.</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250"/>
        <w:gridCol w:w="1950"/>
        <w:gridCol w:w="1650"/>
        <w:gridCol w:w="2000"/>
        <w:gridCol w:w="1500"/>
        <w:gridCol w:w="1556"/>
      </w:tblGrid>
      <w:tr>
        <w:trPr>
          <w:cantSplit/>
          <w:tblHeader/>
        </w:trPr>
        <w:tc>
          <w:tcPr>
            <w:tcW w:type="dxa" w:w="12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Date et heure de détection</w:t>
            </w:r>
          </w:p>
        </w:tc>
        <w:tc>
          <w:tcPr>
            <w:tcW w:type="dxa" w:w="19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Événement</w:t>
            </w:r>
          </w:p>
        </w:tc>
        <w:tc>
          <w:tcPr>
            <w:tcW w:type="dxa" w:w="16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Clients concernés</w:t>
            </w:r>
          </w:p>
        </w:tc>
        <w:tc>
          <w:tcPr>
            <w:tcW w:type="dxa" w:w="20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Qui a prévenu, par quel canal, à quelle heure</w:t>
            </w:r>
          </w:p>
        </w:tc>
        <w:tc>
          <w:tcPr>
            <w:tcW w:type="dxa" w:w="15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Réponse du client</w:t>
            </w:r>
          </w:p>
        </w:tc>
        <w:tc>
          <w:tcPr>
            <w:tcW w:type="dxa" w:w="155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Suite ou cause à traiter</w:t>
            </w:r>
          </w:p>
        </w:tc>
      </w:tr>
      <w:tr>
        <w:trPr>
          <w:cantSplit/>
          <w:tblHeader w:val="false"/>
        </w:trPr>
        <w:tc>
          <w:tcPr>
            <w:tcW w:type="dxa" w:w="12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Lundi 19/10/2026, 9 h 30</w:t>
            </w:r>
          </w:p>
        </w:tc>
        <w:tc>
          <w:tcPr>
            <w:tcW w:type="dxa" w:w="19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Fournisseur de barres d’acier : retard de quatre jours</w:t>
            </w:r>
          </w:p>
        </w:tc>
        <w:tc>
          <w:tcPr>
            <w:tcW w:type="dxa" w:w="16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Client A (série à expédier vendredi)</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Responsable commercial, appel à 11 h puis e-mail de confirmation avec livraison partielle proposée</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Accord pour une livraison partielle mercredi</w:t>
            </w:r>
          </w:p>
        </w:tc>
        <w:tc>
          <w:tcPr>
            <w:tcW w:type="dxa" w:w="15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Fournisseur unique : ligne ajoutée au tableau des risques</w:t>
            </w:r>
          </w:p>
        </w:tc>
      </w:tr>
      <w:tr>
        <w:trPr>
          <w:cantSplit/>
          <w:tblHeader w:val="false"/>
        </w:trPr>
        <w:tc>
          <w:tcPr>
            <w:tcW w:type="dxa" w:w="12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Lundi 19/10/2026, 9 h 30</w:t>
            </w:r>
          </w:p>
        </w:tc>
        <w:tc>
          <w:tcPr>
            <w:tcW w:type="dxa" w:w="19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Idem</w:t>
            </w:r>
          </w:p>
        </w:tc>
        <w:tc>
          <w:tcPr>
            <w:tcW w:type="dxa" w:w="16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Client B (lot décalé de deux jours)</w:t>
            </w:r>
          </w:p>
        </w:tc>
        <w:tc>
          <w:tcPr>
            <w:tcW w:type="dxa" w:w="2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Responsable commercial, e-mail dans l’après-midi avec la nouvelle date</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Accusé de réception</w:t>
            </w:r>
          </w:p>
        </w:tc>
        <w:tc>
          <w:tcPr>
            <w:tcW w:type="dxa" w:w="15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Prochain point mercredi à 14 h, après confirmation du fournisseur</w:t>
            </w:r>
          </w:p>
        </w:tc>
      </w:tr>
    </w:tbl>
    <w:p>
      <w:pPr>
        <w:keepNext/>
        <w:pBdr>
          <w:bottom w:val="single" w:color="1D9E75" w:sz="6" w:space="2"/>
        </w:pBdr>
        <w:spacing w:after="100" w:before="200"/>
      </w:pPr>
      <w:r>
        <w:rPr>
          <w:rFonts w:ascii="Arial" w:cs="Arial" w:eastAsia="Arial" w:hAnsi="Arial"/>
          <w:b/>
          <w:bCs/>
          <w:color w:val="137252"/>
          <w:sz w:val="22"/>
          <w:szCs w:val="22"/>
        </w:rPr>
        <w:t xml:space="preserve">Message envoyé au client A (exemple)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blHeader w:val="false"/>
        </w:trPr>
        <w:tc>
          <w:tcPr>
            <w:tcW w:type="dxa" w:w="9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 Notre fournisseur de barres d’acier annonce un retard de quatre jours. Votre série prévue vendredi est concernée. Nous avons demandé une livraison prioritaire et vous proposons une livraison partielle de 60 % mercredi. Pouvez-vous nous confirmer vos références prioritaires ? Nous revenons vers vous mercredi à 14 h, après confirmation du fournisseur. »</w:t>
            </w:r>
          </w:p>
        </w:tc>
      </w:tr>
    </w:tbl>
    <w:p>
      <w:pPr>
        <w:spacing w:after="60" w:before="100"/>
      </w:pPr>
      <w:r>
        <w:rPr>
          <w:rFonts w:ascii="Arial" w:cs="Arial" w:eastAsia="Arial" w:hAnsi="Arial"/>
          <w:i/>
          <w:iCs/>
          <w:color w:val="5F5850"/>
          <w:sz w:val="16"/>
          <w:szCs w:val="16"/>
        </w:rPr>
        <w:t xml:space="preserve">Exemple fictif, à ne pas recopier. L’alerte, arrivée tôt, a laissé au client le temps de s’organiser ; la ligne du journal alimente ensuite le tableau des risques, car un fournisseur unique a montré sa fragilité.</w:t>
      </w:r>
    </w:p>
    <w:sectPr>
      <w:headerReference w:type="default" r:id="rId7"/>
      <w:footerReference w:type="default" r:id="rId8"/>
      <w:pgSz w:w="11906" w:h="16838" w:orient="portrait"/>
      <w:pgMar w:top="900" w:right="1000" w:bottom="9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Small"/>
      <w:tabs>
        <w:tab w:val="right" w:pos="9906"/>
      </w:tabs>
    </w:pPr>
    <w:r>
      <w:rPr>
        <w:rFonts w:ascii="Arial" w:cs="Arial" w:eastAsia="Arial" w:hAnsi="Arial"/>
        <w:color w:val="5F5850"/>
        <w:sz w:val="15"/>
        <w:szCs w:val="15"/>
      </w:rPr>
      <w:t xml:space="preserve">K-li-T · www.k-li-t.com · Modèle à adapter à votre entreprise. Les exemples sont fictifs.</w:t>
    </w:r>
    <w:r>
      <w:rPr>
        <w:rFonts w:ascii="Arial" w:cs="Arial" w:eastAsia="Arial" w:hAnsi="Arial"/>
        <w:color w:val="5F5850"/>
        <w:sz w:val="15"/>
        <w:szCs w:val="15"/>
      </w:rPr>
      <w:t xml:space="preserve">	Page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jc w:val="right"/>
    </w:pPr>
    <w:r>
      <w:rPr>
        <w:rFonts w:ascii="Arial" w:cs="Arial" w:eastAsia="Arial" w:hAnsi="Arial"/>
        <w:color w:val="5F5850"/>
        <w:sz w:val="15"/>
        <w:szCs w:val="15"/>
      </w:rPr>
      <w:t xml:space="preserve">K-li-T · Règle d’alerte du client (8.2.1, point 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FooterSmall">
    <w:name w:val="Footer Small"/>
    <w:basedOn w:val="Normal"/>
    <w:rPr>
      <w:rFonts w:ascii="Arial" w:cs="Arial" w:eastAsia="Arial" w:hAnsi="Arial"/>
      <w:color w:val="5F5850"/>
      <w:sz w:val="15"/>
      <w:szCs w:val="1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Règle d’alerte du client (8.2.1, point e)</dc:title>
  <dc:creator>K-li-T</dc:creator>
  <cp:lastModifiedBy>Un-named</cp:lastModifiedBy>
  <cp:revision>1</cp:revision>
  <dcterms:created xsi:type="dcterms:W3CDTF">2026-10-21T12:57:17.162Z</dcterms:created>
  <dcterms:modified xsi:type="dcterms:W3CDTF">2026-10-21T12:57:17.162Z</dcterms:modified>
</cp:coreProperties>
</file>

<file path=docProps/custom.xml><?xml version="1.0" encoding="utf-8"?>
<Properties xmlns="http://schemas.openxmlformats.org/officeDocument/2006/custom-properties" xmlns:vt="http://schemas.openxmlformats.org/officeDocument/2006/docPropsVTypes"/>
</file>