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9.2.2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Plan d’audit interne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 plan d’audit tient en une demi-page : objectif, critères, champ, date, durée, auditeur, personnes rencontrées.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700"/>
        <w:gridCol w:w="2000"/>
        <w:gridCol w:w="2806"/>
      </w:tblGrid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 n°</w:t>
            </w:r>
          </w:p>
        </w:tc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de l’audit</w:t>
            </w:r>
          </w:p>
        </w:tc>
        <w:tc>
          <w:tcPr>
            <w:tcW w:type="dxa" w:w="2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Processus audité</w:t>
            </w:r>
          </w:p>
        </w:tc>
        <w:tc>
          <w:tcPr>
            <w:tcW w:type="dxa" w:w="75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Auditeur</w:t>
            </w:r>
          </w:p>
        </w:tc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Durée prévue</w:t>
            </w:r>
          </w:p>
        </w:tc>
        <w:tc>
          <w:tcPr>
            <w:tcW w:type="dxa" w:w="2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Auditeur extérieur au processus ?</w:t>
            </w:r>
          </w:p>
        </w:tc>
        <w:tc>
          <w:tcPr>
            <w:tcW w:type="dxa" w:w="75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     ☐ Non, précautions prises pour garantir l’objectivité et l’impartialité : […]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Objectif, critères, champ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cantSplit/>
          <w:tblHeader w:val="false"/>
          <w:trHeight w:val="900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Objectif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(la question à laquelle l’audit doit répondre)</w:t>
            </w:r>
          </w:p>
        </w:tc>
        <w:tc>
          <w:tcPr>
            <w:tcW w:type="dxa" w:w="7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900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Critères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(sur quelle base on juge : vos règles, la norme, les exigences clients)</w:t>
            </w:r>
          </w:p>
        </w:tc>
        <w:tc>
          <w:tcPr>
            <w:tcW w:type="dxa" w:w="7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800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Champ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(processus, sites, période)</w:t>
            </w:r>
          </w:p>
        </w:tc>
        <w:tc>
          <w:tcPr>
            <w:tcW w:type="dxa" w:w="7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Déroulé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000"/>
        <w:gridCol w:w="2900"/>
        <w:gridCol w:w="2806"/>
      </w:tblGrid>
      <w:tr>
        <w:trPr>
          <w:cantSplit/>
          <w:tblHeader/>
        </w:trPr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Heure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Personne ou fonction rencontrée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Sujet</w:t>
            </w:r>
          </w:p>
        </w:tc>
        <w:tc>
          <w:tcPr>
            <w:tcW w:type="dxa" w:w="2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Documents et enregistrements à consulter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1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Modèle fondé sur le paragraphe 9.2.2 de l’EN ISO 9001:2026 et sur les pratiques de K-li-T. Pour l’audit des systèmes de management, la norme renvoie à l’ISO 19011. Seul le texte officiel fait foi.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9.2.2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Rapport d’audit interne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 rapport court : rappel de l’objectif, constats, conclusion, suites. Il signale aussi ce qui fonctionne bien et ce qui pourrait être amélioré, pas seulement les écarts.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700"/>
        <w:gridCol w:w="2000"/>
        <w:gridCol w:w="2806"/>
      </w:tblGrid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 n°</w:t>
            </w:r>
          </w:p>
        </w:tc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</w:t>
            </w:r>
          </w:p>
        </w:tc>
        <w:tc>
          <w:tcPr>
            <w:tcW w:type="dxa" w:w="2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Processus audité</w:t>
            </w:r>
          </w:p>
        </w:tc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Auditeur</w:t>
            </w:r>
          </w:p>
        </w:tc>
        <w:tc>
          <w:tcPr>
            <w:tcW w:type="dxa" w:w="2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Rappel de l’objectif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70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Constats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000"/>
        <w:gridCol w:w="2400"/>
        <w:gridCol w:w="1806"/>
      </w:tblGrid>
      <w:tr>
        <w:trPr>
          <w:cantSplit/>
          <w:tblHeader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Type de constat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Constat factuel et preuve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Exigence ou critère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Suite (n° d’écart)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Types de constat : conformité · point fort · écart · piste d’amélioration.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Conclusion sur l’atteinte de l’objectif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100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Objectif atteint     ☐ Partiellement atteint     ☐ Non atteint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Suites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300"/>
        <w:gridCol w:w="3306"/>
      </w:tblGrid>
      <w:tr>
        <w:trPr>
          <w:cantSplit/>
          <w:tblHeader/>
        </w:trPr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Écarts transmis à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Correction et actions correctives attendues sous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8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cantSplit/>
          <w:tblHeader/>
        </w:trPr>
        <w:tc>
          <w:tcPr>
            <w:tcW w:type="dxa" w:w="49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Auditeur (nom, date, signature)</w:t>
            </w:r>
          </w:p>
        </w:tc>
        <w:tc>
          <w:tcPr>
            <w:tcW w:type="dxa" w:w="49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Responsable du processus (nom, date, signature)</w:t>
            </w:r>
          </w:p>
        </w:tc>
      </w:tr>
      <w:tr>
        <w:trPr>
          <w:cantSplit/>
          <w:tblHeader w:val="false"/>
          <w:trHeight w:val="800"/>
        </w:trPr>
        <w:tc>
          <w:tcPr>
            <w:tcW w:type="dxa" w:w="49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9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Le rapport est remis au responsable du processus et à la direction. Les résultats d’audit sont examinés en revue de direction (9.3.2, tendances). Les écarts alimentent votre processus de non-conformités.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audit de la maintenance et des équipements, septembre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Plan et rapport d’audit : maintenance et équipements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700"/>
        <w:gridCol w:w="2000"/>
        <w:gridCol w:w="2806"/>
      </w:tblGrid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 n°</w:t>
            </w:r>
          </w:p>
        </w:tc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2027-05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</w:t>
            </w:r>
          </w:p>
        </w:tc>
        <w:tc>
          <w:tcPr>
            <w:tcW w:type="dxa" w:w="2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14/09/2027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Processus audité</w:t>
            </w:r>
          </w:p>
        </w:tc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Maintenance et équipements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Auditeur</w:t>
            </w:r>
          </w:p>
        </w:tc>
        <w:tc>
          <w:tcPr>
            <w:tcW w:type="dxa" w:w="2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Auditeur extérieur au processus ?</w:t>
            </w:r>
          </w:p>
        </w:tc>
        <w:tc>
          <w:tcPr>
            <w:tcW w:type="dxa" w:w="75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☒ Oui</w:t>
            </w:r>
          </w:p>
        </w:tc>
      </w:tr>
    </w:tbl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Objectif</w:t>
            </w:r>
          </w:p>
        </w:tc>
        <w:tc>
          <w:tcPr>
            <w:tcW w:type="dxa" w:w="7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Évaluer si le plan de maintenance préventive est appliqué sur les machines clés.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Critères</w:t>
            </w:r>
          </w:p>
        </w:tc>
        <w:tc>
          <w:tcPr>
            <w:tcW w:type="dxa" w:w="7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Plan de maintenance préventive de l’entreprise, exigences de la norme.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Champ</w:t>
            </w:r>
          </w:p>
        </w:tc>
        <w:tc>
          <w:tcPr>
            <w:tcW w:type="dxa" w:w="7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Six machines clés, douze derniers mois.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Constats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000"/>
        <w:gridCol w:w="2400"/>
        <w:gridCol w:w="1806"/>
      </w:tblGrid>
      <w:tr>
        <w:trPr>
          <w:cantSplit/>
          <w:tblHeader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Type de constat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Constat factuel et preuve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Exigence ou critère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Suite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Conformité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 plan couvre les six machines clés ; 22 interventions sur 24 réalisées aux dates prévues (fiches d’intervention).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Plan de maintenance préventive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Point fort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Fiches d’intervention complètes, avec relevé des pièces changées.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—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Écart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Deux interventions prévues sur la fraiseuse 3 non réalisées, sans report décidé.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Plan de maintenance préventive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Écart n° 2027-14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Piste d’amélioration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Alerte automatique des échéances dans le tableur de suivi.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—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Proposée à la revue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Conclusion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Atteint     ☒ Partiellement atteint     ☐ Non atteint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 plan est appliqué dans l’ensemble ; un écart sur la fraiseuse 3 est à traiter sous trente jours.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9906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Plan et rapport d’audit interne (9.2.2)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et rapport d’audit interne (9.2.2)</dc:title>
  <dc:creator>K-li-T</dc:creator>
  <cp:lastModifiedBy>Un-named</cp:lastModifiedBy>
  <cp:revision>1</cp:revision>
  <dcterms:created xsi:type="dcterms:W3CDTF">2026-10-21T09:04:16.511Z</dcterms:created>
  <dcterms:modified xsi:type="dcterms:W3CDTF">2026-10-21T09:04:16.511Z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