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E8593C" w:color="auto" w:val="clear"/>
        <w:spacing w:after="180" w:before="0"/>
        <w:ind w:left="0"/>
      </w:pPr>
      <w:r>
        <w:rPr>
          <w:rFonts w:ascii="Arial" w:cs="Arial" w:eastAsia="Arial" w:hAnsi="Arial"/>
          <w:b/>
          <w:bCs/>
          <w:color w:val="FFFFFF"/>
          <w:sz w:val="17"/>
          <w:szCs w:val="17"/>
        </w:rPr>
        <w:t xml:space="preserve">K-li-T · Modèle Qualiopi V10 · Contrat de sous-traitance d’actions de formation</w:t>
      </w:r>
    </w:p>
    <w:p>
      <w:pPr>
        <w:spacing w:after="60" w:before="0"/>
      </w:pPr>
      <w:r>
        <w:rPr>
          <w:rFonts w:ascii="Arial" w:cs="Arial" w:eastAsia="Arial" w:hAnsi="Arial"/>
          <w:b/>
          <w:bCs/>
          <w:color w:val="1A1816"/>
          <w:sz w:val="34"/>
          <w:szCs w:val="34"/>
        </w:rPr>
        <w:t xml:space="preserve">Lisez-moi : contrat de sous-traitance d’actions de formation</w:t>
      </w:r>
    </w:p>
    <w:p>
      <w:pPr>
        <w:spacing w:after="140" w:before="0"/>
      </w:pPr>
      <w:r>
        <w:rPr>
          <w:rFonts w:ascii="Arial" w:cs="Arial" w:eastAsia="Arial" w:hAnsi="Arial"/>
          <w:i/>
          <w:iCs/>
          <w:color w:val="5F5850"/>
          <w:sz w:val="19"/>
          <w:szCs w:val="19"/>
        </w:rPr>
        <w:t xml:space="preserve">Indicateur 27 : conformité au référentiel et traçabilité dans les contrats de sous-traitance (V10).</w:t>
      </w:r>
    </w:p>
    <w:p>
      <w:pPr>
        <w:keepNext/>
        <w:pBdr>
          <w:bottom w:val="single" w:color="1D9E75" w:sz="6" w:space="2"/>
        </w:pBdr>
        <w:spacing w:after="100" w:before="200"/>
      </w:pPr>
      <w:r>
        <w:rPr>
          <w:rFonts w:ascii="Arial" w:cs="Arial" w:eastAsia="Arial" w:hAnsi="Arial"/>
          <w:b/>
          <w:bCs/>
          <w:color w:val="137252"/>
          <w:sz w:val="22"/>
          <w:szCs w:val="22"/>
        </w:rPr>
        <w:t xml:space="preserve">À quoi sert ce modèle</w:t>
      </w:r>
    </w:p>
    <w:p>
      <w:pPr>
        <w:spacing w:after="80" w:before="0"/>
      </w:pPr>
      <w:r>
        <w:rPr>
          <w:rFonts w:ascii="Arial" w:cs="Arial" w:eastAsia="Arial" w:hAnsi="Arial"/>
          <w:color w:val="1A1816"/>
          <w:sz w:val="19"/>
          <w:szCs w:val="19"/>
        </w:rPr>
        <w:t xml:space="preserve">D’après le document de travail du guide V10, un contrat entre l’organisme de formation et son sous-traitant est nécessaire pour formaliser les missions confiées : le contenu et la sanction de la formation, les moyens mobilisés, les conditions de réalisation et de suivi de l’action, sa durée, la période de réalisation et le montant de la prestation. Sans contrat identifiant ces missions, l’organisme certificateur vérifie tous les indicateurs applicables à la catégorie d’actions. L’indicateur 27, modifié, ajoute la traçabilité de la conformité au référentiel dans les contrats, portage salarial compris.</w:t>
      </w:r>
    </w:p>
    <w:p>
      <w:pPr>
        <w:spacing w:after="80" w:before="0"/>
      </w:pPr>
      <w:r>
        <w:rPr>
          <w:rFonts w:ascii="Arial" w:cs="Arial" w:eastAsia="Arial" w:hAnsi="Arial"/>
          <w:color w:val="1A1816"/>
          <w:sz w:val="19"/>
          <w:szCs w:val="19"/>
        </w:rPr>
        <w:t xml:space="preserve">Ce fichier vous donne un contrat complet de 18 articles avec, en marge de chaque clause, un commentaire : pourquoi la clause existe et ce que vérifie l’auditeur. Il comprend trois annexes : fiche de l’action, tableau de traçabilité de la conformité, pièces à fournir.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À faire relire par un juriste. </w:t>
            </w:r>
            <w:r>
              <w:rPr>
                <w:rFonts w:ascii="Arial" w:cs="Arial" w:eastAsia="Arial" w:hAnsi="Arial"/>
                <w:b w:val="false"/>
                <w:bCs w:val="false"/>
                <w:color w:val="1A1816"/>
                <w:sz w:val="18"/>
                <w:szCs w:val="18"/>
              </w:rPr>
              <w:t xml:space="preserve">Ce modèle est indicatif et ne constitue pas un conseil juridique. Un contrat engage les parties : faites-le relire par un juriste avant signature, en particulier les clauses de responsabilité, de propriété intellectuelle, de protection des données, de TVA, de résiliation et de statut du sous-traitant. Les commentaires en marge sont à supprimer avant signature.</w:t>
            </w:r>
          </w:p>
        </w:tc>
      </w:tr>
    </w:tbl>
    <w:p>
      <w:pPr>
        <w:keepNext/>
        <w:pBdr>
          <w:bottom w:val="single" w:color="1D9E75" w:sz="6" w:space="2"/>
        </w:pBdr>
        <w:spacing w:after="100" w:before="200"/>
      </w:pPr>
      <w:r>
        <w:rPr>
          <w:rFonts w:ascii="Arial" w:cs="Arial" w:eastAsia="Arial" w:hAnsi="Arial"/>
          <w:b/>
          <w:bCs/>
          <w:color w:val="137252"/>
          <w:sz w:val="22"/>
          <w:szCs w:val="22"/>
        </w:rPr>
        <w:t xml:space="preserve">Mode d’emploi en 6 étapes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80"/>
        <w:gridCol w:w="2250"/>
        <w:gridCol w:w="7176"/>
      </w:tblGrid>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1</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Listez les missions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Avant de rédiger, notez qui fait quoi : conception, animation, évaluation, suivi, information du public. Les missions déterminent les indicateurs vérifiés chez le sous-traitant.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2</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Remplissez les parties et l’action</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Articles 1 à 8 : parties, missions, contenu et sanction, moyens, conditions de suivi, durée, période, montant.</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3</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Adaptez la conformité</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Article 9 et annexe B : retenez les indicateurs qui concernent les missions confiées et fixez les preuves et les échéances.</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4</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Complétez les clauses utiles</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Handicap, prévention des violences, appréciations, données, propriété intellectuelle, assurance, résiliation.</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5</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Faites relire</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Faites relire par un juriste, supprimez les commentaires en marge et complétez les crochets.</w:t>
            </w:r>
          </w:p>
        </w:tc>
      </w:tr>
      <w:tr>
        <w:trPr>
          <w:cantSplit/>
          <w:tblHeader w:val="false"/>
        </w:trPr>
        <w:tc>
          <w:tcPr>
            <w:tcW w:type="dxa" w:w="48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8"/>
                <w:szCs w:val="18"/>
              </w:rPr>
              <w:t xml:space="preserve">6</w:t>
            </w:r>
          </w:p>
        </w:tc>
        <w:tc>
          <w:tcPr>
            <w:tcW w:type="dxa" w:w="22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Signez avant le début</w:t>
            </w:r>
          </w:p>
        </w:tc>
        <w:tc>
          <w:tcPr>
            <w:tcW w:type="dxa" w:w="717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Faites signer avant la première session, puis classez le contrat avec les pièces de l’annexe C.</w:t>
            </w:r>
          </w:p>
        </w:tc>
      </w:tr>
    </w:tbl>
    <w:p>
      <w:pPr>
        <w:keepNext/>
        <w:pBdr>
          <w:bottom w:val="single" w:color="1D9E75" w:sz="6" w:space="2"/>
        </w:pBdr>
        <w:spacing w:after="100" w:before="200"/>
      </w:pPr>
      <w:r>
        <w:rPr>
          <w:rFonts w:ascii="Arial" w:cs="Arial" w:eastAsia="Arial" w:hAnsi="Arial"/>
          <w:b/>
          <w:bCs/>
          <w:color w:val="137252"/>
          <w:sz w:val="22"/>
          <w:szCs w:val="22"/>
        </w:rPr>
        <w:t xml:space="preserve">Contenu du fichier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600"/>
        <w:gridCol w:w="7306"/>
      </w:tblGrid>
      <w:tr>
        <w:trPr>
          <w:cantSplit/>
          <w:tblHeader/>
        </w:trPr>
        <w:tc>
          <w:tcPr>
            <w:tcW w:type="dxa" w:w="26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Partie</w:t>
            </w:r>
          </w:p>
        </w:tc>
        <w:tc>
          <w:tcPr>
            <w:tcW w:type="dxa" w:w="73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qu’elle contient</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Mentions attendues</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Tableau page suivante : chaque mention du document de travail et l’article qui la porte.</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Exemple rempli (fictif)</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Contrat entre « Forma Rivage » (donneur d’ordres) et « Studio Cobalt Pédagogie » (sous-traitant) pour 3 sessions d’une formation Excel de 14 heures, avec ses annexes.</w:t>
            </w:r>
          </w:p>
        </w:tc>
      </w:tr>
      <w:tr>
        <w:trPr>
          <w:cantSplit/>
          <w:tblHeader w:val="false"/>
        </w:trPr>
        <w:tc>
          <w:tcPr>
            <w:tcW w:type="dxa" w:w="26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Trame à adapter</w:t>
            </w:r>
          </w:p>
        </w:tc>
        <w:tc>
          <w:tcPr>
            <w:tcW w:type="dxa" w:w="73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8"/>
                <w:szCs w:val="18"/>
              </w:rPr>
              <w:t xml:space="preserve">Le même contrat à remplir pour votre organisme, avec ses commentaires en marge.</w:t>
            </w:r>
          </w:p>
        </w:tc>
      </w:tr>
    </w:tbl>
    <w:p>
      <w:pPr>
        <w:keepNext/>
        <w:pBdr>
          <w:bottom w:val="single" w:color="1D9E75" w:sz="6" w:space="2"/>
        </w:pBdr>
        <w:spacing w:after="100" w:before="200"/>
      </w:pPr>
      <w:r>
        <w:rPr>
          <w:rFonts w:ascii="Arial" w:cs="Arial" w:eastAsia="Arial" w:hAnsi="Arial"/>
          <w:b/>
          <w:bCs/>
          <w:color w:val="137252"/>
          <w:sz w:val="22"/>
          <w:szCs w:val="22"/>
        </w:rPr>
        <w:t xml:space="preserve">Code couleur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50"/>
        <w:gridCol w:w="1750"/>
        <w:gridCol w:w="1550"/>
        <w:gridCol w:w="1750"/>
        <w:gridCol w:w="1550"/>
        <w:gridCol w:w="1756"/>
      </w:tblGrid>
      <w:tr>
        <w:trPr>
          <w:cantSplit/>
          <w:tblHeader w:val="false"/>
        </w:trPr>
        <w:tc>
          <w:tcPr>
            <w:tcW w:type="dxa" w:w="155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terracotta</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Version vierge ou page d’explication.</w:t>
            </w:r>
          </w:p>
        </w:tc>
        <w:tc>
          <w:tcPr>
            <w:tcW w:type="dxa" w:w="1550"/>
            <w:tcBorders>
              <w:top w:val="single" w:color="E6E0D6" w:sz="4"/>
              <w:left w:val="single" w:color="E6E0D6" w:sz="4"/>
              <w:bottom w:val="single" w:color="E6E0D6" w:sz="4"/>
              <w:right w:val="single" w:color="E6E0D6" w:sz="4"/>
            </w:tcBorders>
            <w:shd w:fill="1D9E75" w:color="auto" w:val="clear"/>
            <w:tcMar>
              <w:top w:type="dxa" w:w="60"/>
              <w:left w:type="dxa" w:w="100"/>
              <w:bottom w:type="dxa" w:w="60"/>
              <w:right w:type="dxa" w:w="100"/>
            </w:tcMar>
            <w:vAlign w:val="top"/>
          </w:tcPr>
          <w:p>
            <w:pPr>
              <w:spacing w:after="40" w:before="0"/>
            </w:pPr>
            <w:r>
              <w:rPr>
                <w:rFonts w:ascii="Arial" w:cs="Arial" w:eastAsia="Arial" w:hAnsi="Arial"/>
                <w:b/>
                <w:bCs/>
                <w:color w:val="FFFFFF"/>
                <w:sz w:val="16"/>
                <w:szCs w:val="16"/>
              </w:rPr>
              <w:t xml:space="preserve">Bandeau vert</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Exemple fictif, à ne pas recopier.</w:t>
            </w:r>
          </w:p>
        </w:tc>
        <w:tc>
          <w:tcPr>
            <w:tcW w:type="dxa" w:w="155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6"/>
                <w:szCs w:val="16"/>
              </w:rPr>
              <w:t xml:space="preserve">Libellé sur fond crème</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Intitulé d’un champ : ne pas modifier.</w:t>
            </w:r>
          </w:p>
        </w:tc>
      </w:tr>
      <w:tr>
        <w:trPr>
          <w:cantSplit/>
          <w:tblHeader w:val="false"/>
        </w:trPr>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Cellule blanche encadrée</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remplir ; dans l’exemple, rempli avec des données fictives.</w:t>
            </w:r>
          </w:p>
        </w:tc>
        <w:tc>
          <w:tcPr>
            <w:tcW w:type="dxa" w:w="1550"/>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37252"/>
                <w:sz w:val="16"/>
                <w:szCs w:val="16"/>
              </w:rPr>
              <w:t xml:space="preserve">Fond vert clair</w:t>
            </w:r>
          </w:p>
        </w:tc>
        <w:tc>
          <w:tcPr>
            <w:tcW w:type="dxa" w:w="17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Commentaire en marge de K-li-T : à supprimer avant signature.</w:t>
            </w:r>
          </w:p>
        </w:tc>
        <w:tc>
          <w:tcPr>
            <w:tcW w:type="dxa" w:w="155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i/>
                <w:iCs/>
                <w:color w:val="5F5850"/>
                <w:sz w:val="16"/>
                <w:szCs w:val="16"/>
              </w:rPr>
              <w:t xml:space="preserve">Gris italique, [ … ]</w:t>
            </w:r>
          </w:p>
        </w:tc>
        <w:tc>
          <w:tcPr>
            <w:tcW w:type="dxa" w:w="175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Aide ; les crochets sont à compléter.</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Mentions attendues et articles du modèle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300"/>
        <w:gridCol w:w="3700"/>
        <w:gridCol w:w="2906"/>
      </w:tblGrid>
      <w:tr>
        <w:trPr>
          <w:cantSplit/>
          <w:tblHeader/>
        </w:trPr>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Mention attendue (document de travail V10)</w:t>
            </w:r>
          </w:p>
        </w:tc>
        <w:tc>
          <w:tcPr>
            <w:tcW w:type="dxa" w:w="37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le contrat doit permettre de montrer</w:t>
            </w:r>
          </w:p>
        </w:tc>
        <w:tc>
          <w:tcPr>
            <w:tcW w:type="dxa" w:w="29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Où dans le modèle</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Contenu et sanction de la formation</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Ce que le stagiaire apprend et ce que la formation délivre (attestation, certification).</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3, annexe A</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Moyens mobilisés</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Intervenants, salle, équipements, plateforme, supports.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4, annexe C</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Conditions de réalisation et de suivi de l’action</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Effectif, lieu ou distance, émargement, évaluation, pilotage, accès aux preuves.</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5</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Durée</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Durée de la formation et durée du contrat.</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6</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Période de réalisation</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Dates et calendrier.</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7, annexe A</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Montant de la prestation</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Prix, base de calcul, facturation, paiement.</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8</w:t>
            </w:r>
          </w:p>
        </w:tc>
      </w:tr>
      <w:tr>
        <w:trPr>
          <w:cantSplit/>
          <w:tblHeader w:val="false"/>
        </w:trPr>
        <w:tc>
          <w:tcPr>
            <w:tcW w:type="dxa" w:w="3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Conformité au référentiel et traçabilité (indicateur 27)</w:t>
            </w:r>
          </w:p>
        </w:tc>
        <w:tc>
          <w:tcPr>
            <w:tcW w:type="dxa" w:w="37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Engagement du sous-traitant, preuves à transmettre, vérification par le donneur d’ordres, habilitation éventuelle.</w:t>
            </w:r>
          </w:p>
        </w:tc>
        <w:tc>
          <w:tcPr>
            <w:tcW w:type="dxa" w:w="29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Article 9, annexe B</w:t>
            </w:r>
          </w:p>
        </w:tc>
      </w:tr>
    </w:tbl>
    <w:p>
      <w:pPr>
        <w:keepNext/>
        <w:spacing w:after="60" w:before="120"/>
      </w:pPr>
      <w:r>
        <w:rPr>
          <w:rFonts w:ascii="Arial" w:cs="Arial" w:eastAsia="Arial" w:hAnsi="Arial"/>
          <w:b/>
          <w:bCs/>
          <w:color w:val="B83E24"/>
          <w:sz w:val="19"/>
          <w:szCs w:val="19"/>
        </w:rPr>
        <w:t xml:space="preserve">Ce que l’auditeur peut examiner chez le donneur d’ordres</w:t>
      </w:r>
    </w:p>
    <w:p>
      <w:pPr>
        <w:spacing w:after="50" w:before="0"/>
        <w:ind w:left="300" w:hanging="220"/>
      </w:pPr>
      <w:r>
        <w:rPr>
          <w:rFonts w:ascii="Arial" w:cs="Arial" w:eastAsia="Arial" w:hAnsi="Arial"/>
          <w:color w:val="1A1816"/>
          <w:sz w:val="19"/>
          <w:szCs w:val="19"/>
        </w:rPr>
        <w:t xml:space="preserve">•  Les contrats de sous-traitance et tous les éléments qui montrent comment les sous-traitants sont sélectionnés et pilotés : processus de sélection, animation qualité, charte, justificatifs présentés par les sous-traitants ou les salariés portés.</w:t>
      </w:r>
    </w:p>
    <w:p>
      <w:pPr>
        <w:spacing w:after="50" w:before="0"/>
        <w:ind w:left="300" w:hanging="220"/>
      </w:pPr>
      <w:r>
        <w:rPr>
          <w:rFonts w:ascii="Arial" w:cs="Arial" w:eastAsia="Arial" w:hAnsi="Arial"/>
          <w:color w:val="1A1816"/>
          <w:sz w:val="19"/>
          <w:szCs w:val="19"/>
        </w:rPr>
        <w:t xml:space="preserve">•  Pour une formation réalisée dans le cadre d’une habilitation délivrée par un certificateur : les éléments qui montrent que le sous-traitant respecte les conditions de l’habilitation (convention tripartite ou avenant, information du certificateur, vérification de ses compétences).</w:t>
      </w:r>
    </w:p>
    <w:p>
      <w:pPr>
        <w:spacing w:after="50" w:before="0"/>
        <w:ind w:left="300" w:hanging="220"/>
      </w:pPr>
      <w:r>
        <w:rPr>
          <w:rFonts w:ascii="Arial" w:cs="Arial" w:eastAsia="Arial" w:hAnsi="Arial"/>
          <w:color w:val="1A1816"/>
          <w:sz w:val="19"/>
          <w:szCs w:val="19"/>
        </w:rPr>
        <w:t xml:space="preserve">•  Le sous-traitant n’a pas l’obligation d’être certifié Qualiopi, sauf cas prévus par la loi ; la responsabilité de la qualité reste au donneur d’ordres, qui organise la chaîne de la qualité.</w:t>
      </w:r>
    </w:p>
    <w:p>
      <w:pPr>
        <w:keepNext/>
        <w:spacing w:after="60" w:before="120"/>
      </w:pPr>
      <w:r>
        <w:rPr>
          <w:rFonts w:ascii="Arial" w:cs="Arial" w:eastAsia="Arial" w:hAnsi="Arial"/>
          <w:b/>
          <w:bCs/>
          <w:color w:val="B83E24"/>
          <w:sz w:val="19"/>
          <w:szCs w:val="19"/>
        </w:rPr>
        <w:t xml:space="preserve">Pondération</w:t>
      </w:r>
    </w:p>
    <w:p>
      <w:pPr>
        <w:spacing w:after="80" w:before="0"/>
      </w:pPr>
      <w:r>
        <w:rPr>
          <w:rFonts w:ascii="Arial" w:cs="Arial" w:eastAsia="Arial" w:hAnsi="Arial"/>
          <w:color w:val="1A1816"/>
          <w:sz w:val="19"/>
          <w:szCs w:val="19"/>
        </w:rPr>
        <w:t xml:space="preserve">L’indicateur 27 ne peut donner lieu qu’à une non-conformité majeure : dans l’échantillon audité, le non-respect, même partiel, de cet indicateur est une non-conformité majeure. Pour les indicateurs 1, 2 et 3, le document de travail précise qu’ils ne s’appliquent pas au sous-traitant : le donneur d’ordres informe le public.</w:t>
      </w:r>
    </w:p>
    <w:p>
      <w:pPr>
        <w:spacing w:after="60" w:before="100"/>
      </w:pPr>
      <w:r>
        <w:rPr>
          <w:rFonts w:ascii="Arial" w:cs="Arial" w:eastAsia="Arial" w:hAnsi="Arial"/>
          <w:i/>
          <w:iCs/>
          <w:color w:val="5F5850"/>
          <w:sz w:val="16"/>
          <w:szCs w:val="16"/>
        </w:rPr>
        <w:t xml:space="preserve">Repères tirés du décret n° 2026-728 du 1er août 2026 et du document de travail du guide V10 (version non finale), reformulés. À confirmer à la parution du guide final.</w:t>
      </w:r>
    </w:p>
    <w:p>
      <w:pPr>
        <w:keepNext/>
        <w:pBdr>
          <w:bottom w:val="single" w:color="1D9E75" w:sz="6" w:space="2"/>
        </w:pBdr>
        <w:spacing w:after="100" w:before="200"/>
      </w:pPr>
      <w:r>
        <w:rPr>
          <w:rFonts w:ascii="Arial" w:cs="Arial" w:eastAsia="Arial" w:hAnsi="Arial"/>
          <w:b/>
          <w:bCs/>
          <w:color w:val="137252"/>
          <w:sz w:val="22"/>
          <w:szCs w:val="22"/>
        </w:rPr>
        <w:t xml:space="preserve">Base et limites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Base. </w:t>
            </w:r>
            <w:r>
              <w:rPr>
                <w:rFonts w:ascii="Arial" w:cs="Arial" w:eastAsia="Arial" w:hAnsi="Arial"/>
                <w:b w:val="false"/>
                <w:bCs w:val="false"/>
                <w:color w:val="1A1816"/>
                <w:sz w:val="18"/>
                <w:szCs w:val="18"/>
              </w:rPr>
              <w:t xml:space="preserve">Ce modèle s’appuie sur le décret n° 2026-728 du 1er août 2026 et sur le document de travail du guide de lecture V10 (version non finale), reformulés avec nos propres mots. À confirmer à la parution du guide final. Les exemples sont fictifs : ils montrent le niveau de précision utile, ils ne sont pas à recopier. Pour la sélection du sous-traitant et son suivi, voir la grille de sélection et d’évaluation des sous-traitants du dossier de modèles.</w:t>
            </w:r>
          </w:p>
        </w:tc>
      </w:tr>
    </w:tbl>
    <w:p>
      <w:pPr>
        <w:spacing w:after="60" w:before="0"/>
      </w:pPr>
    </w:p>
    <w:p>
      <w:pPr>
        <w:spacing w:after="20" w:before="0"/>
      </w:pPr>
      <w:r>
        <w:rPr>
          <w:rFonts w:ascii="Arial" w:cs="Arial" w:eastAsia="Arial" w:hAnsi="Arial"/>
          <w:b/>
          <w:bCs/>
          <w:color w:val="1A1816"/>
          <w:sz w:val="19"/>
          <w:szCs w:val="19"/>
        </w:rPr>
        <w:t xml:space="preserve">Article associé : </w:t>
      </w:r>
      <w:r>
        <w:rPr>
          <w:rFonts w:ascii="Arial" w:cs="Arial" w:eastAsia="Arial" w:hAnsi="Arial"/>
          <w:color w:val="1A1816"/>
          <w:sz w:val="19"/>
          <w:szCs w:val="19"/>
        </w:rPr>
        <w:t xml:space="preserve">Modèle de contrat de sous-traitance Qualiopi : clauses à prévoir</w:t>
      </w:r>
    </w:p>
    <w:p>
      <w:pPr>
        <w:spacing w:after="80" w:before="0"/>
      </w:pPr>
      <w:hyperlink w:history="1" r:id="rIdkujktuazw1zentkwp2ykr">
        <w:r>
          <w:rPr>
            <w:rFonts w:ascii="Arial" w:cs="Arial" w:eastAsia="Arial" w:hAnsi="Arial"/>
            <w:color w:val="B83E24"/>
            <w:sz w:val="19"/>
            <w:szCs w:val="19"/>
            <w:u w:val="single"/>
          </w:rPr>
          <w:t xml:space="preserve">https://www.k-li-t.com/modele-contrat-sous-traitance-qualiopi/</w:t>
        </w:r>
      </w:hyperlink>
    </w:p>
    <w:p>
      <w:pPr>
        <w:pageBreakBefore/>
        <w:shd w:fill="1D9E75" w:color="auto" w:val="clear"/>
        <w:spacing w:after="180" w:before="0"/>
        <w:ind w:left="0"/>
      </w:pPr>
      <w:r>
        <w:rPr>
          <w:rFonts w:ascii="Arial" w:cs="Arial" w:eastAsia="Arial" w:hAnsi="Arial"/>
          <w:b/>
          <w:bCs/>
          <w:color w:val="FFFFFF"/>
          <w:sz w:val="17"/>
          <w:szCs w:val="17"/>
        </w:rPr>
        <w:t xml:space="preserve">K-li-T · Modèle Qualiopi V10 · Contrat de sous-traitance · Exemple rempli (fictif)</w:t>
      </w:r>
    </w:p>
    <w:p>
      <w:pPr>
        <w:spacing w:after="60" w:before="0"/>
      </w:pPr>
      <w:r>
        <w:rPr>
          <w:rFonts w:ascii="Arial" w:cs="Arial" w:eastAsia="Arial" w:hAnsi="Arial"/>
          <w:b/>
          <w:bCs/>
          <w:color w:val="1A1816"/>
          <w:sz w:val="34"/>
          <w:szCs w:val="34"/>
        </w:rPr>
        <w:t xml:space="preserve">Contrat de sous-traitance d’actions de formation</w:t>
      </w:r>
    </w:p>
    <w:p>
      <w:pPr>
        <w:spacing w:after="140" w:before="0"/>
      </w:pPr>
      <w:r>
        <w:rPr>
          <w:rFonts w:ascii="Arial" w:cs="Arial" w:eastAsia="Arial" w:hAnsi="Arial"/>
          <w:i/>
          <w:iCs/>
          <w:color w:val="5F5850"/>
          <w:sz w:val="19"/>
          <w:szCs w:val="19"/>
        </w:rPr>
        <w:t xml:space="preserve">Forma Rivage (donneur d’ordres) et Studio Cobalt Pédagogie (sous-traitant), organismes fictifs · contrat n° ST-2026-014 du 26/10/2026</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Modèle indicatif, à faire relire par un juriste avant signature. </w:t>
            </w:r>
            <w:r>
              <w:rPr>
                <w:rFonts w:ascii="Arial" w:cs="Arial" w:eastAsia="Arial" w:hAnsi="Arial"/>
                <w:b w:val="false"/>
                <w:bCs w:val="false"/>
                <w:color w:val="1A1816"/>
                <w:sz w:val="18"/>
                <w:szCs w:val="18"/>
              </w:rPr>
              <w:t xml:space="preserve">Les commentaires du cadre vert ne font pas partie du contrat : supprimez-les avant signature. Les crochets sont à compléter ou à remplacer.</w:t>
            </w:r>
          </w:p>
        </w:tc>
      </w:tr>
    </w:tbl>
    <w:p>
      <w:pPr>
        <w:spacing w:after="80" w:before="0"/>
      </w:pPr>
    </w:p>
    <w:p>
      <w:pPr>
        <w:keepNext/>
        <w:pBdr>
          <w:bottom w:val="single" w:color="1D9E75" w:sz="6" w:space="2"/>
        </w:pBdr>
        <w:spacing w:after="100" w:before="200"/>
      </w:pPr>
      <w:r>
        <w:rPr>
          <w:rFonts w:ascii="Arial" w:cs="Arial" w:eastAsia="Arial" w:hAnsi="Arial"/>
          <w:b/>
          <w:bCs/>
          <w:color w:val="137252"/>
          <w:sz w:val="22"/>
          <w:szCs w:val="22"/>
        </w:rPr>
        <w:t xml:space="preserve">Entre les soussignés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3803"/>
        <w:gridCol w:w="3803"/>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 </w:t>
            </w:r>
          </w:p>
        </w:tc>
        <w:tc>
          <w:tcPr>
            <w:tcW w:type="dxa" w:w="380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Le donneur d’ordres</w:t>
            </w:r>
          </w:p>
        </w:tc>
        <w:tc>
          <w:tcPr>
            <w:tcW w:type="dxa" w:w="380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Le sous-traitant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Dénomination</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Forma Rivage, SARL</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Studio Cobalt Pédagogie, entreprise individuelle de M. Nicolas Vasseur</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SIRET</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000 000 000 00000 (fictif)</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000 000 000 00001 (fictif)</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 de déclaration d’activité</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00 00 00000 00 (fictif)</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00 00 00001 00 (fictif)</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Siège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3 quai des Mariniers, 00000 Ville (adresse fictive)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14 rue des Acacias, 00000 Ville (adresse fictive)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Représenté(e) par</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Mme Élodie Sarrasin, gérante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 Nicolas Vasseur, formateur indépendant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Certification qualité</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Certifié, catégorie : actions de formation, par Certificateur X (fictif), valide jusqu’au 30/06/2029 (fictif)</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Certifié   ☒ Non certifié (aucune obligation en dehors des cas légaux)</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Assurance responsabilité civile professionnelle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Compagnie Exemple, contrat RC-000000 (fictif), valide jusqu’au 31/12/2026</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Compagnie Exemple, contrat RC-000001 (fictif), valide jusqu’au 31/12/2026</w:t>
            </w:r>
          </w:p>
        </w:tc>
      </w:tr>
    </w:tbl>
    <w:p>
      <w:pPr>
        <w:spacing w:after="60" w:before="100"/>
      </w:pPr>
      <w:r>
        <w:rPr>
          <w:rFonts w:ascii="Arial" w:cs="Arial" w:eastAsia="Arial" w:hAnsi="Arial"/>
          <w:i/>
          <w:iCs/>
          <w:color w:val="5F5850"/>
          <w:sz w:val="16"/>
          <w:szCs w:val="16"/>
        </w:rPr>
        <w:t xml:space="preserve">Ci-après désignés « le Donneur d’ordres », « le Sous-traitant » et ensemble « les parties ». Pour un portage salarial, désignez la société de portage et adaptez les articles 16 et 17.</w:t>
      </w:r>
    </w:p>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300"/>
        <w:gridCol w:w="3606"/>
      </w:tblGrid>
      <w:tr>
        <w:trPr>
          <w:cantSplit/>
          <w:tblHeader/>
        </w:trPr>
        <w:tc>
          <w:tcPr>
            <w:tcW w:type="dxa" w:w="6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Clause du contrat</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Commentaire K-li-T (hors contrat)</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Préambule</w:t>
            </w:r>
          </w:p>
          <w:p>
            <w:pPr>
              <w:spacing w:after="40" w:before="0"/>
            </w:pPr>
            <w:r>
              <w:rPr>
                <w:rFonts w:ascii="Arial" w:cs="Arial" w:eastAsia="Arial" w:hAnsi="Arial"/>
                <w:b w:val="false"/>
                <w:bCs w:val="false"/>
                <w:color w:val="1A1816"/>
                <w:sz w:val="17"/>
                <w:szCs w:val="17"/>
              </w:rPr>
              <w:t xml:space="preserve">Forma Rivage est un organisme de formation. Une entreprise cliente lui a commandé, avec un financement de son OPCO, trois sessions de la formation « Pratiquer Excel pour construire des tableaux de bord ». Forma Rivage confie l’animation de ces sessions à Studio Cobalt Pédagogie, qui l’accepte. Forma Rivage reste responsable de l’action à l’égard des stagiaires, de l’entreprise cliente et du financeur. Le présent contrat précise les missions confiées et les engagements de chacun, y compris au regard du référentiel national qualité.</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Poser le cadre : qui est responsable envers qui. Le sous-traitant n’est pas tenu d’être certifié en dehors des cas légaux ; la responsabilité de la qualité reste au donneur d’ordres.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donneur d’ordres a bien organisé la chaîne de la qualité jusqu’au sous-traitant (indicateur 27).</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 · Objet du contrat</w:t>
            </w:r>
          </w:p>
          <w:p>
            <w:pPr>
              <w:spacing w:after="40" w:before="0"/>
            </w:pPr>
            <w:r>
              <w:rPr>
                <w:rFonts w:ascii="Arial" w:cs="Arial" w:eastAsia="Arial" w:hAnsi="Arial"/>
                <w:b w:val="false"/>
                <w:bCs w:val="false"/>
                <w:color w:val="1A1816"/>
                <w:sz w:val="17"/>
                <w:szCs w:val="17"/>
              </w:rPr>
              <w:t xml:space="preserve">Le présent contrat a pour objet la réalisation par le Sous-traitant de l’action de formation suivante : « Pratiquer Excel pour construire des tableaux de bord », 3 sessions de 14 heures (ci-après « l’Action »), pour le compte du Donneur d’ordres, dans les conditions fixées ci-après et dans les annexes, qui font partie du contrat. Le Sous-traitant agit pour le compte du Donneur d’ordres sans le représenter auprès des tiers.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Identifier l’action sans ambiguïté.</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 document de travail demande un contrat qui formalise les missions confiées. Sans contrat identifiant ces missions, le certificateur vérifie tous les indicateurs applicables à la catégorie d’actions.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2 · Missions confiées et répartition</w:t>
            </w:r>
          </w:p>
          <w:p>
            <w:pPr>
              <w:spacing w:after="40" w:before="0"/>
            </w:pPr>
            <w:r>
              <w:rPr>
                <w:rFonts w:ascii="Arial" w:cs="Arial" w:eastAsia="Arial" w:hAnsi="Arial"/>
                <w:b w:val="false"/>
                <w:bCs w:val="false"/>
                <w:color w:val="1A1816"/>
                <w:sz w:val="17"/>
                <w:szCs w:val="17"/>
              </w:rPr>
              <w:t xml:space="preserve">Les missions sont réparties comme suit (DO : Donneur d’ordres ; ST : Sous-traitant). Toute mission non mentionnée reste au Donneur d’ordres.</w:t>
            </w:r>
          </w:p>
          <w:p>
            <w:pPr>
              <w:spacing w:after="40" w:before="0"/>
            </w:pPr>
            <w:r>
              <w:rPr>
                <w:rFonts w:ascii="Arial" w:cs="Arial" w:eastAsia="Arial" w:hAnsi="Arial"/>
                <w:b/>
                <w:bCs/>
                <w:color w:val="1A1816"/>
                <w:sz w:val="17"/>
                <w:szCs w:val="17"/>
              </w:rPr>
              <w:t xml:space="preserve">Information du public sur l’Action (site, fiches, devis)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Analyse du besoin avec le client et définition des objectifs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Conception du programme et des supports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Positionnement des stagiaires (questionnaire d’entrée)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Convocation, livret d’accueil, règlement intérieur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Animation des sessions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Émargement et suivi de l’assiduité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Évaluation des acquis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Appréciation des stagiaires à chaud et du Donneur d’ordres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Traitement des réclamations, difficultés et aléas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Référent handicap et référent des signalements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Publication des indicateurs de résultats : </w:t>
            </w:r>
            <w:r>
              <w:rPr>
                <w:rFonts w:ascii="Arial" w:cs="Arial" w:eastAsia="Arial" w:hAnsi="Arial"/>
                <w:b w:val="false"/>
                <w:bCs w:val="false"/>
                <w:color w:val="1A1816"/>
                <w:sz w:val="17"/>
                <w:szCs w:val="17"/>
              </w:rPr>
              <w:t xml:space="preserve">☒ DO   ☐ ST</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La répartition décide des indicateurs vérifiés chez le sous-traitant : ceux qui correspondent aux missions confiées.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Les indicateurs 1, 2 et 3 ne s’appliquent pas au sous-traitant : le donneur d’ordres informe le public et publie les indicateurs de résultats (document de travail). Pour l’indicateur 30, le sous-traitant recueille l’appréciation des bénéficiaires et du donneur d’ordres.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3 · Contenu et sanction de la formation</w:t>
            </w:r>
          </w:p>
          <w:p>
            <w:pPr>
              <w:spacing w:after="40" w:before="0"/>
            </w:pPr>
            <w:r>
              <w:rPr>
                <w:rFonts w:ascii="Arial" w:cs="Arial" w:eastAsia="Arial" w:hAnsi="Arial"/>
                <w:b/>
                <w:bCs/>
                <w:color w:val="1A1816"/>
                <w:sz w:val="17"/>
                <w:szCs w:val="17"/>
              </w:rPr>
              <w:t xml:space="preserve">Intitulé : </w:t>
            </w:r>
            <w:r>
              <w:rPr>
                <w:rFonts w:ascii="Arial" w:cs="Arial" w:eastAsia="Arial" w:hAnsi="Arial"/>
                <w:b w:val="false"/>
                <w:bCs w:val="false"/>
                <w:color w:val="1A1816"/>
                <w:sz w:val="17"/>
                <w:szCs w:val="17"/>
              </w:rPr>
              <w:t xml:space="preserve">Pratiquer Excel pour construire des tableaux de bord</w:t>
            </w:r>
          </w:p>
          <w:p>
            <w:pPr>
              <w:spacing w:after="40" w:before="0"/>
            </w:pPr>
            <w:r>
              <w:rPr>
                <w:rFonts w:ascii="Arial" w:cs="Arial" w:eastAsia="Arial" w:hAnsi="Arial"/>
                <w:b/>
                <w:bCs/>
                <w:color w:val="1A1816"/>
                <w:sz w:val="17"/>
                <w:szCs w:val="17"/>
              </w:rPr>
              <w:t xml:space="preserve">Public et prérequis : </w:t>
            </w:r>
            <w:r>
              <w:rPr>
                <w:rFonts w:ascii="Arial" w:cs="Arial" w:eastAsia="Arial" w:hAnsi="Arial"/>
                <w:b w:val="false"/>
                <w:bCs w:val="false"/>
                <w:color w:val="1A1816"/>
                <w:sz w:val="17"/>
                <w:szCs w:val="17"/>
              </w:rPr>
              <w:t xml:space="preserve">Salariés utilisant déjà un tableur ; prérequis : savoir saisir des formules simples</w:t>
            </w:r>
          </w:p>
          <w:p>
            <w:pPr>
              <w:spacing w:after="40" w:before="0"/>
            </w:pPr>
            <w:r>
              <w:rPr>
                <w:rFonts w:ascii="Arial" w:cs="Arial" w:eastAsia="Arial" w:hAnsi="Arial"/>
                <w:b/>
                <w:bCs/>
                <w:color w:val="1A1816"/>
                <w:sz w:val="17"/>
                <w:szCs w:val="17"/>
              </w:rPr>
              <w:t xml:space="preserve">Objectifs opérationnels : </w:t>
            </w:r>
            <w:r>
              <w:rPr>
                <w:rFonts w:ascii="Arial" w:cs="Arial" w:eastAsia="Arial" w:hAnsi="Arial"/>
                <w:b w:val="false"/>
                <w:bCs w:val="false"/>
                <w:color w:val="1A1816"/>
                <w:sz w:val="17"/>
                <w:szCs w:val="17"/>
              </w:rPr>
              <w:t xml:space="preserve">Construire un tableau croisé dynamique ; créer trois graphiques lisibles ; assembler un tableau de bord actualisable</w:t>
            </w:r>
          </w:p>
          <w:p>
            <w:pPr>
              <w:spacing w:after="40" w:before="0"/>
            </w:pPr>
            <w:r>
              <w:rPr>
                <w:rFonts w:ascii="Arial" w:cs="Arial" w:eastAsia="Arial" w:hAnsi="Arial"/>
                <w:b/>
                <w:bCs/>
                <w:color w:val="1A1816"/>
                <w:sz w:val="17"/>
                <w:szCs w:val="17"/>
              </w:rPr>
              <w:t xml:space="preserve">Programme : </w:t>
            </w:r>
            <w:r>
              <w:rPr>
                <w:rFonts w:ascii="Arial" w:cs="Arial" w:eastAsia="Arial" w:hAnsi="Arial"/>
                <w:b w:val="false"/>
                <w:bCs w:val="false"/>
                <w:color w:val="1A1816"/>
                <w:sz w:val="17"/>
                <w:szCs w:val="17"/>
              </w:rPr>
              <w:t xml:space="preserve">Quatre modules de 3 h 30, détaillés à l’annexe A</w:t>
            </w:r>
          </w:p>
          <w:p>
            <w:pPr>
              <w:spacing w:after="40" w:before="0"/>
            </w:pPr>
            <w:r>
              <w:rPr>
                <w:rFonts w:ascii="Arial" w:cs="Arial" w:eastAsia="Arial" w:hAnsi="Arial"/>
                <w:b/>
                <w:bCs/>
                <w:color w:val="1A1816"/>
                <w:sz w:val="17"/>
                <w:szCs w:val="17"/>
              </w:rPr>
              <w:t xml:space="preserve">Modalités pédagogiques et d’évaluation : </w:t>
            </w:r>
            <w:r>
              <w:rPr>
                <w:rFonts w:ascii="Arial" w:cs="Arial" w:eastAsia="Arial" w:hAnsi="Arial"/>
                <w:b w:val="false"/>
                <w:bCs w:val="false"/>
                <w:color w:val="1A1816"/>
                <w:sz w:val="17"/>
                <w:szCs w:val="17"/>
              </w:rPr>
              <w:t xml:space="preserve">Exercices sur postes, cas pratique fil rouge ; évaluation finale par un cas pratique noté sur grille</w:t>
            </w:r>
          </w:p>
          <w:p>
            <w:pPr>
              <w:spacing w:after="40" w:before="0"/>
            </w:pPr>
            <w:r>
              <w:rPr>
                <w:rFonts w:ascii="Arial" w:cs="Arial" w:eastAsia="Arial" w:hAnsi="Arial"/>
                <w:b/>
                <w:bCs/>
                <w:color w:val="1A1816"/>
                <w:sz w:val="17"/>
                <w:szCs w:val="17"/>
              </w:rPr>
              <w:t xml:space="preserve">Sanction de la formation : </w:t>
            </w:r>
            <w:r>
              <w:rPr>
                <w:rFonts w:ascii="Arial" w:cs="Arial" w:eastAsia="Arial" w:hAnsi="Arial"/>
                <w:b w:val="false"/>
                <w:bCs w:val="false"/>
                <w:color w:val="1A1816"/>
                <w:sz w:val="17"/>
                <w:szCs w:val="17"/>
              </w:rPr>
              <w:t xml:space="preserve">☒ attestation de fin de formation   ☐ certification professionnelle   ☐ autre</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Première mention attendue. La « sanction » désigne ce que la formation délivre. Si l’action prépare une certification, indiquez le libellé exact, le code RNCP ou RS et le certificateur.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La cohérence entre le contenu du contrat, la fiche programme publiée par le donneur d’ordres et ce qui est réalisé (indicateurs 1, 4 à 8).</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4 · Moyens mobilisés</w:t>
            </w:r>
          </w:p>
          <w:p>
            <w:pPr>
              <w:spacing w:after="40" w:before="0"/>
            </w:pPr>
            <w:r>
              <w:rPr>
                <w:rFonts w:ascii="Arial" w:cs="Arial" w:eastAsia="Arial" w:hAnsi="Arial"/>
                <w:b/>
                <w:bCs/>
                <w:color w:val="1A1816"/>
                <w:sz w:val="17"/>
                <w:szCs w:val="17"/>
              </w:rPr>
              <w:t xml:space="preserve">Moyens humains : </w:t>
            </w:r>
            <w:r>
              <w:rPr>
                <w:rFonts w:ascii="Arial" w:cs="Arial" w:eastAsia="Arial" w:hAnsi="Arial"/>
                <w:b w:val="false"/>
                <w:bCs w:val="false"/>
                <w:color w:val="1A1816"/>
                <w:sz w:val="17"/>
                <w:szCs w:val="17"/>
              </w:rPr>
              <w:t xml:space="preserve">M. Nicolas Vasseur, formateur en bureautique depuis 2014 ; CV et diplômes en annexe C</w:t>
            </w:r>
          </w:p>
          <w:p>
            <w:pPr>
              <w:spacing w:after="40" w:before="0"/>
            </w:pPr>
            <w:r>
              <w:rPr>
                <w:rFonts w:ascii="Arial" w:cs="Arial" w:eastAsia="Arial" w:hAnsi="Arial"/>
                <w:b/>
                <w:bCs/>
                <w:color w:val="1A1816"/>
                <w:sz w:val="17"/>
                <w:szCs w:val="17"/>
              </w:rPr>
              <w:t xml:space="preserve">Moyens techniques et logistiques : </w:t>
            </w:r>
            <w:r>
              <w:rPr>
                <w:rFonts w:ascii="Arial" w:cs="Arial" w:eastAsia="Arial" w:hAnsi="Arial"/>
                <w:b w:val="false"/>
                <w:bCs w:val="false"/>
                <w:color w:val="1A1816"/>
                <w:sz w:val="17"/>
                <w:szCs w:val="17"/>
              </w:rPr>
              <w:t xml:space="preserve">Salle 2 du Donneur d’ordres, 10 postes équipés, vidéoprojecteur : fournis par le Donneur d’ordres</w:t>
            </w:r>
          </w:p>
          <w:p>
            <w:pPr>
              <w:spacing w:after="40" w:before="0"/>
            </w:pPr>
            <w:r>
              <w:rPr>
                <w:rFonts w:ascii="Arial" w:cs="Arial" w:eastAsia="Arial" w:hAnsi="Arial"/>
                <w:b/>
                <w:bCs/>
                <w:color w:val="1A1816"/>
                <w:sz w:val="17"/>
                <w:szCs w:val="17"/>
              </w:rPr>
              <w:t xml:space="preserve">Moyens pédagogiques : </w:t>
            </w:r>
            <w:r>
              <w:rPr>
                <w:rFonts w:ascii="Arial" w:cs="Arial" w:eastAsia="Arial" w:hAnsi="Arial"/>
                <w:b w:val="false"/>
                <w:bCs w:val="false"/>
                <w:color w:val="1A1816"/>
                <w:sz w:val="17"/>
                <w:szCs w:val="17"/>
              </w:rPr>
              <w:t xml:space="preserve">Supports et fichiers d’exercices fournis par le Sous-traitant, validés par le Donneur d’ordres</w:t>
            </w:r>
          </w:p>
          <w:p>
            <w:pPr>
              <w:spacing w:after="40" w:before="0"/>
            </w:pPr>
            <w:r>
              <w:rPr>
                <w:rFonts w:ascii="Arial" w:cs="Arial" w:eastAsia="Arial" w:hAnsi="Arial"/>
                <w:b w:val="false"/>
                <w:bCs w:val="false"/>
                <w:color w:val="1A1816"/>
                <w:sz w:val="17"/>
                <w:szCs w:val="17"/>
              </w:rPr>
              <w:t xml:space="preserve">Tout remplacement de l’intervenant est soumis à l’accord écrit préalable du Donneur d’ordres, qui peut demander les pièces justifiant les compétences du remplaçant.</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Deuxième mention attendue. Prévoir le remplacement évite qu’une défaillance de dernière minute se règle hors contrat.</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les moyens sont adaptés à l’effectif et aux objectifs (indicateur 17) et que les compétences de l’intervenant ont été vérifiées avant la prestation (indicateur 21).</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5 · Conditions de réalisation et de suivi de l’Action</w:t>
            </w:r>
          </w:p>
          <w:p>
            <w:pPr>
              <w:spacing w:after="40" w:before="0"/>
            </w:pPr>
            <w:r>
              <w:rPr>
                <w:rFonts w:ascii="Arial" w:cs="Arial" w:eastAsia="Arial" w:hAnsi="Arial"/>
                <w:b/>
                <w:bCs/>
                <w:color w:val="1A1816"/>
                <w:sz w:val="17"/>
                <w:szCs w:val="17"/>
              </w:rPr>
              <w:t xml:space="preserve">Effectif et lieu : </w:t>
            </w:r>
            <w:r>
              <w:rPr>
                <w:rFonts w:ascii="Arial" w:cs="Arial" w:eastAsia="Arial" w:hAnsi="Arial"/>
                <w:b w:val="false"/>
                <w:bCs w:val="false"/>
                <w:color w:val="1A1816"/>
                <w:sz w:val="17"/>
                <w:szCs w:val="17"/>
              </w:rPr>
              <w:t xml:space="preserve">8 stagiaires au maximum ; locaux du Donneur d’ordres</w:t>
            </w:r>
          </w:p>
          <w:p>
            <w:pPr>
              <w:spacing w:after="40" w:before="0"/>
            </w:pPr>
            <w:r>
              <w:rPr>
                <w:rFonts w:ascii="Arial" w:cs="Arial" w:eastAsia="Arial" w:hAnsi="Arial"/>
                <w:b/>
                <w:bCs/>
                <w:color w:val="1A1816"/>
                <w:sz w:val="17"/>
                <w:szCs w:val="17"/>
              </w:rPr>
              <w:t xml:space="preserve">Suivi de l’assiduité : </w:t>
            </w:r>
            <w:r>
              <w:rPr>
                <w:rFonts w:ascii="Arial" w:cs="Arial" w:eastAsia="Arial" w:hAnsi="Arial"/>
                <w:b w:val="false"/>
                <w:bCs w:val="false"/>
                <w:color w:val="1A1816"/>
                <w:sz w:val="17"/>
                <w:szCs w:val="17"/>
              </w:rPr>
              <w:t xml:space="preserve">Feuille d’émargement signée à chaque demi-journée, remise au Donneur d’ordres sous 5 jours ouvrés</w:t>
            </w:r>
          </w:p>
          <w:p>
            <w:pPr>
              <w:spacing w:after="40" w:before="0"/>
            </w:pPr>
            <w:r>
              <w:rPr>
                <w:rFonts w:ascii="Arial" w:cs="Arial" w:eastAsia="Arial" w:hAnsi="Arial"/>
                <w:b/>
                <w:bCs/>
                <w:color w:val="1A1816"/>
                <w:sz w:val="17"/>
                <w:szCs w:val="17"/>
              </w:rPr>
              <w:t xml:space="preserve">Évaluation des acquis : </w:t>
            </w:r>
            <w:r>
              <w:rPr>
                <w:rFonts w:ascii="Arial" w:cs="Arial" w:eastAsia="Arial" w:hAnsi="Arial"/>
                <w:b w:val="false"/>
                <w:bCs w:val="false"/>
                <w:color w:val="1A1816"/>
                <w:sz w:val="17"/>
                <w:szCs w:val="17"/>
              </w:rPr>
              <w:t xml:space="preserve">Grille fournie par le Donneur d’ordres ; résultats remis sous 5 jours ouvrés</w:t>
            </w:r>
          </w:p>
          <w:p>
            <w:pPr>
              <w:spacing w:after="40" w:before="0"/>
            </w:pPr>
            <w:r>
              <w:rPr>
                <w:rFonts w:ascii="Arial" w:cs="Arial" w:eastAsia="Arial" w:hAnsi="Arial"/>
                <w:b/>
                <w:bCs/>
                <w:color w:val="1A1816"/>
                <w:sz w:val="17"/>
                <w:szCs w:val="17"/>
              </w:rPr>
              <w:t xml:space="preserve">Pilotage : </w:t>
            </w:r>
            <w:r>
              <w:rPr>
                <w:rFonts w:ascii="Arial" w:cs="Arial" w:eastAsia="Arial" w:hAnsi="Arial"/>
                <w:b w:val="false"/>
                <w:bCs w:val="false"/>
                <w:color w:val="1A1816"/>
                <w:sz w:val="17"/>
                <w:szCs w:val="17"/>
              </w:rPr>
              <w:t xml:space="preserve">Point téléphonique de dix minutes avant la première session et après chaque session ; interlocutrice : la responsable pédagogique du Donneur d’ordres</w:t>
            </w:r>
          </w:p>
          <w:p>
            <w:pPr>
              <w:spacing w:after="40" w:before="0"/>
            </w:pPr>
            <w:r>
              <w:rPr>
                <w:rFonts w:ascii="Arial" w:cs="Arial" w:eastAsia="Arial" w:hAnsi="Arial"/>
                <w:b/>
                <w:bCs/>
                <w:color w:val="1A1816"/>
                <w:sz w:val="17"/>
                <w:szCs w:val="17"/>
              </w:rPr>
              <w:t xml:space="preserve">Contrôles : </w:t>
            </w:r>
            <w:r>
              <w:rPr>
                <w:rFonts w:ascii="Arial" w:cs="Arial" w:eastAsia="Arial" w:hAnsi="Arial"/>
                <w:b w:val="false"/>
                <w:bCs w:val="false"/>
                <w:color w:val="1A1816"/>
                <w:sz w:val="17"/>
                <w:szCs w:val="17"/>
              </w:rPr>
              <w:t xml:space="preserve">Le Sous-traitant accepte les vérifications du Donneur d’ordres, de son organisme certificateur et des financeurs : accès aux documents et observation d’une séance.</w:t>
            </w:r>
          </w:p>
          <w:p>
            <w:pPr>
              <w:spacing w:after="40" w:before="0"/>
            </w:pPr>
            <w:r>
              <w:rPr>
                <w:rFonts w:ascii="Arial" w:cs="Arial" w:eastAsia="Arial" w:hAnsi="Arial"/>
                <w:b w:val="false"/>
                <w:bCs w:val="false"/>
                <w:color w:val="1A1816"/>
                <w:sz w:val="17"/>
                <w:szCs w:val="17"/>
              </w:rPr>
              <w:t xml:space="preserve">Le Sous-traitant informe immédiatement le Donneur d’ordres de tout événement affectant l’Action : absence de stagiaire, incident, indisponibilité, difficulté technique.</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Troisième mention attendue. Ce sont ces conditions qui rendent la preuve possible : émargement, évaluation, suivi du distanciel.</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suivi de l’action est réel (indicateurs 10, 11) et, pour une partie à distance, que l’effectivité du suivi est vérifiée : relances, alertes, statistiques (indicateur 19). Aucun seuil de relance officiel n’est publié : il est celui des parties.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6 · Durée</w:t>
            </w:r>
          </w:p>
          <w:p>
            <w:pPr>
              <w:spacing w:after="40" w:before="0"/>
            </w:pPr>
            <w:r>
              <w:rPr>
                <w:rFonts w:ascii="Arial" w:cs="Arial" w:eastAsia="Arial" w:hAnsi="Arial"/>
                <w:b/>
                <w:bCs/>
                <w:color w:val="1A1816"/>
                <w:sz w:val="17"/>
                <w:szCs w:val="17"/>
              </w:rPr>
              <w:t xml:space="preserve">Durée de l’Action : </w:t>
            </w:r>
            <w:r>
              <w:rPr>
                <w:rFonts w:ascii="Arial" w:cs="Arial" w:eastAsia="Arial" w:hAnsi="Arial"/>
                <w:b w:val="false"/>
                <w:bCs w:val="false"/>
                <w:color w:val="1A1816"/>
                <w:sz w:val="17"/>
                <w:szCs w:val="17"/>
              </w:rPr>
              <w:t xml:space="preserve">14 heures sur 2 jours par session ; 3 sessions</w:t>
            </w:r>
          </w:p>
          <w:p>
            <w:pPr>
              <w:spacing w:after="40" w:before="0"/>
            </w:pPr>
            <w:r>
              <w:rPr>
                <w:rFonts w:ascii="Arial" w:cs="Arial" w:eastAsia="Arial" w:hAnsi="Arial"/>
                <w:b/>
                <w:bCs/>
                <w:color w:val="1A1816"/>
                <w:sz w:val="17"/>
                <w:szCs w:val="17"/>
              </w:rPr>
              <w:t xml:space="preserve">Durée du contrat : </w:t>
            </w:r>
            <w:r>
              <w:rPr>
                <w:rFonts w:ascii="Arial" w:cs="Arial" w:eastAsia="Arial" w:hAnsi="Arial"/>
                <w:b w:val="false"/>
                <w:bCs w:val="false"/>
                <w:color w:val="1A1816"/>
                <w:sz w:val="17"/>
                <w:szCs w:val="17"/>
              </w:rPr>
              <w:t xml:space="preserve">Le contrat prend effet à sa signature et prend fin le 31/12/2026, après remise des pièces de l’annexe B.</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Quatrième mention attendue. La durée de la formation et la durée du contrat sont deux choses différentes : écrivez les deux.</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La durée annoncée aux stagiaires et celle du contrat concordent.</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7 · Période de réalisation</w:t>
            </w:r>
          </w:p>
          <w:p>
            <w:pPr>
              <w:spacing w:after="40" w:before="0"/>
            </w:pPr>
            <w:r>
              <w:rPr>
                <w:rFonts w:ascii="Arial" w:cs="Arial" w:eastAsia="Arial" w:hAnsi="Arial"/>
                <w:b w:val="false"/>
                <w:bCs w:val="false"/>
                <w:color w:val="1A1816"/>
                <w:sz w:val="17"/>
                <w:szCs w:val="17"/>
              </w:rPr>
              <w:t xml:space="preserve">L’Action se déroule du 17/11/2026 au 16/12/2026 : sessions des 17 et 18 novembre, 1er et 2 décembre, 15 et 16 décembre 2026, selon le calendrier de l’annexe A. Toute modification de date est soumise à l’accord écrit des parties.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Cinquième mention attendue : les dates, pas seulement la durée.</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 calendrier du contrat correspond aux émargements des sessions échantillonnées.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8 · Montant et modalités de paiement</w:t>
            </w:r>
          </w:p>
          <w:p>
            <w:pPr>
              <w:spacing w:after="40" w:before="0"/>
            </w:pPr>
            <w:r>
              <w:rPr>
                <w:rFonts w:ascii="Arial" w:cs="Arial" w:eastAsia="Arial" w:hAnsi="Arial"/>
                <w:b/>
                <w:bCs/>
                <w:color w:val="1A1816"/>
                <w:sz w:val="17"/>
                <w:szCs w:val="17"/>
              </w:rPr>
              <w:t xml:space="preserve">Prix : </w:t>
            </w:r>
            <w:r>
              <w:rPr>
                <w:rFonts w:ascii="Arial" w:cs="Arial" w:eastAsia="Arial" w:hAnsi="Arial"/>
                <w:b w:val="false"/>
                <w:bCs w:val="false"/>
                <w:color w:val="1A1816"/>
                <w:sz w:val="17"/>
                <w:szCs w:val="17"/>
              </w:rPr>
              <w:t xml:space="preserve">1 150 € HT par session de 14 heures, soit 3 450 € HT pour 3 sessions (montants fictifs)</w:t>
            </w:r>
          </w:p>
          <w:p>
            <w:pPr>
              <w:spacing w:after="40" w:before="0"/>
            </w:pPr>
            <w:r>
              <w:rPr>
                <w:rFonts w:ascii="Arial" w:cs="Arial" w:eastAsia="Arial" w:hAnsi="Arial"/>
                <w:b/>
                <w:bCs/>
                <w:color w:val="1A1816"/>
                <w:sz w:val="17"/>
                <w:szCs w:val="17"/>
              </w:rPr>
              <w:t xml:space="preserve">TVA et frais : </w:t>
            </w:r>
            <w:r>
              <w:rPr>
                <w:rFonts w:ascii="Arial" w:cs="Arial" w:eastAsia="Arial" w:hAnsi="Arial"/>
                <w:b w:val="false"/>
                <w:bCs w:val="false"/>
                <w:color w:val="1A1816"/>
                <w:sz w:val="17"/>
                <w:szCs w:val="17"/>
              </w:rPr>
              <w:t xml:space="preserve">TVA selon le régime applicable au Sous-traitant ; frais inclus dans le prix</w:t>
            </w:r>
          </w:p>
          <w:p>
            <w:pPr>
              <w:spacing w:after="40" w:before="0"/>
            </w:pPr>
            <w:r>
              <w:rPr>
                <w:rFonts w:ascii="Arial" w:cs="Arial" w:eastAsia="Arial" w:hAnsi="Arial"/>
                <w:b/>
                <w:bCs/>
                <w:color w:val="1A1816"/>
                <w:sz w:val="17"/>
                <w:szCs w:val="17"/>
              </w:rPr>
              <w:t xml:space="preserve">Facturation et paiement : </w:t>
            </w:r>
            <w:r>
              <w:rPr>
                <w:rFonts w:ascii="Arial" w:cs="Arial" w:eastAsia="Arial" w:hAnsi="Arial"/>
                <w:b w:val="false"/>
                <w:bCs w:val="false"/>
                <w:color w:val="1A1816"/>
                <w:sz w:val="17"/>
                <w:szCs w:val="17"/>
              </w:rPr>
              <w:t xml:space="preserve">Facture après chaque session et remise des pièces de l’annexe B. Paiement à 30 jours à compter de la réception de la facture.</w:t>
            </w:r>
          </w:p>
          <w:p>
            <w:pPr>
              <w:spacing w:after="40" w:before="0"/>
            </w:pPr>
            <w:r>
              <w:rPr>
                <w:rFonts w:ascii="Arial" w:cs="Arial" w:eastAsia="Arial" w:hAnsi="Arial"/>
                <w:b w:val="false"/>
                <w:bCs w:val="false"/>
                <w:color w:val="1A1816"/>
                <w:sz w:val="17"/>
                <w:szCs w:val="17"/>
              </w:rPr>
              <w:t xml:space="preserve">Pénalités et indemnités de retard : conformes aux dispositions légales en vigueur.</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Sixième mention attendue : le montant de la prestation. Lier le paiement à la remise des pièces donne au donneur d’ordres un levier simple pour obtenir les preuves.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montant figure au contrat. Faites vérifier par votre expert le régime de TVA, les délais de paiement et les pénalités, qui relèvent de la loi.</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9 · Respect du référentiel national qualité et traçabilité</w:t>
            </w:r>
          </w:p>
          <w:p>
            <w:pPr>
              <w:spacing w:after="40" w:before="0"/>
            </w:pPr>
            <w:r>
              <w:rPr>
                <w:rFonts w:ascii="Arial" w:cs="Arial" w:eastAsia="Arial" w:hAnsi="Arial"/>
                <w:b w:val="false"/>
                <w:bCs w:val="false"/>
                <w:color w:val="1A1816"/>
                <w:sz w:val="17"/>
                <w:szCs w:val="17"/>
              </w:rPr>
              <w:t xml:space="preserve">Le Sous-traitant s’engage à respecter, pour les missions qui lui sont confiées, les exigences du référentiel national qualité qui les concernent, détaillées à l’annexe B : indicateurs concernés, pratiques attendues, preuves à transmettre et échéances.</w:t>
            </w:r>
          </w:p>
          <w:p>
            <w:pPr>
              <w:spacing w:after="40" w:before="0"/>
            </w:pPr>
            <w:r>
              <w:rPr>
                <w:rFonts w:ascii="Arial" w:cs="Arial" w:eastAsia="Arial" w:hAnsi="Arial"/>
                <w:b w:val="false"/>
                <w:bCs w:val="false"/>
                <w:color w:val="1A1816"/>
                <w:sz w:val="17"/>
                <w:szCs w:val="17"/>
              </w:rPr>
              <w:t xml:space="preserve">Il transmet au Donneur d’ordres les preuves listées à l’annexe B dans les délais indiqués et conserve celles qui lui incombent pendant 3 ans après la fin de l’Action.</w:t>
            </w:r>
          </w:p>
          <w:p>
            <w:pPr>
              <w:spacing w:after="40" w:before="0"/>
            </w:pPr>
            <w:r>
              <w:rPr>
                <w:rFonts w:ascii="Arial" w:cs="Arial" w:eastAsia="Arial" w:hAnsi="Arial"/>
                <w:b w:val="false"/>
                <w:bCs w:val="false"/>
                <w:color w:val="1A1816"/>
                <w:sz w:val="17"/>
                <w:szCs w:val="17"/>
              </w:rPr>
              <w:t xml:space="preserve">Il accepte d’être audité par le Donneur d’ordres et de présenter ses preuves à l’organisme certificateur de celui-ci, ainsi qu’à tout financeur qui en fait la demande.</w:t>
            </w:r>
          </w:p>
          <w:p>
            <w:pPr>
              <w:spacing w:after="40" w:before="0"/>
            </w:pPr>
            <w:r>
              <w:rPr>
                <w:rFonts w:ascii="Arial" w:cs="Arial" w:eastAsia="Arial" w:hAnsi="Arial"/>
                <w:b w:val="false"/>
                <w:bCs w:val="false"/>
                <w:color w:val="1A1816"/>
                <w:sz w:val="17"/>
                <w:szCs w:val="17"/>
              </w:rPr>
              <w:t xml:space="preserve">Il informe sans délai le Donneur d’ordres de tout changement susceptible d’affecter la conformité : intervenant, moyens, perte d’une habilitation, incident grave.</w:t>
            </w:r>
          </w:p>
          <w:p>
            <w:pPr>
              <w:spacing w:after="40" w:before="0"/>
            </w:pPr>
            <w:r>
              <w:rPr>
                <w:rFonts w:ascii="Arial" w:cs="Arial" w:eastAsia="Arial" w:hAnsi="Arial"/>
                <w:b/>
                <w:bCs/>
                <w:color w:val="1A1816"/>
                <w:sz w:val="17"/>
                <w:szCs w:val="17"/>
              </w:rPr>
              <w:t xml:space="preserve">Vérification par le Donneur d’ordres : </w:t>
            </w:r>
            <w:r>
              <w:rPr>
                <w:rFonts w:ascii="Arial" w:cs="Arial" w:eastAsia="Arial" w:hAnsi="Arial"/>
                <w:b w:val="false"/>
                <w:bCs w:val="false"/>
                <w:color w:val="1A1816"/>
                <w:sz w:val="17"/>
                <w:szCs w:val="17"/>
              </w:rPr>
              <w:t xml:space="preserve">Sélection préalable sur grille, revue des pièces après chaque session, évaluation de fin de mission</w:t>
            </w:r>
          </w:p>
          <w:p>
            <w:pPr>
              <w:spacing w:after="40" w:before="0"/>
            </w:pPr>
            <w:r>
              <w:rPr>
                <w:rFonts w:ascii="Arial" w:cs="Arial" w:eastAsia="Arial" w:hAnsi="Arial"/>
                <w:b w:val="false"/>
                <w:bCs w:val="false"/>
                <w:color w:val="1A1816"/>
                <w:sz w:val="17"/>
                <w:szCs w:val="17"/>
              </w:rPr>
              <w:t xml:space="preserve">Lorsque l’Action est réalisée dans le cadre d’une habilitation délivrée par un certificateur, les parties respectent les conditions de l’habilitation : sans objet pour cette Action, qui ne prépare pas de certification.</w:t>
            </w:r>
          </w:p>
          <w:p>
            <w:pPr>
              <w:spacing w:after="40" w:before="0"/>
            </w:pPr>
            <w:r>
              <w:rPr>
                <w:rFonts w:ascii="Arial" w:cs="Arial" w:eastAsia="Arial" w:hAnsi="Arial"/>
                <w:b w:val="false"/>
                <w:bCs w:val="false"/>
                <w:color w:val="1A1816"/>
                <w:sz w:val="17"/>
                <w:szCs w:val="17"/>
              </w:rPr>
              <w:t xml:space="preserve">Le Sous-traitant n’est pas tenu d’être certifié Qualiopi, sauf cas prévus par la loi. Il ne se prévaut pas de la certification du Donneur d’ordres.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C’est la clause que la V10 met en avant : la conformité au référentiel et sa traçabilité dans le contrat.</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Les contrats de sous-traitance, le processus de sélection et de pilotage des sous-traitants, les justificatifs présentés par les sous-traitants. Pour une habilitation, des éléments attestant que le sous-traitant en respecte les conditions. Indicateur 27 : non-respect, même partiel, égal non-conformité majeure.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10 · Accueil des personnes en situation de handicap</w:t>
            </w:r>
          </w:p>
          <w:p>
            <w:pPr>
              <w:spacing w:after="40" w:before="0"/>
            </w:pPr>
            <w:r>
              <w:rPr>
                <w:rFonts w:ascii="Arial" w:cs="Arial" w:eastAsia="Arial" w:hAnsi="Arial"/>
                <w:b w:val="false"/>
                <w:bCs w:val="false"/>
                <w:color w:val="1A1816"/>
                <w:sz w:val="17"/>
                <w:szCs w:val="17"/>
              </w:rPr>
              <w:t xml:space="preserve">Le Donneur d’ordres désigne un référent handicap : Mme Léa Garnier, responsable pédagogique, 01 00 00 00 20 (fictif), et communique au Sous-traitant la liste de ses partenaires mobilisables. Le Sous-traitant signale au référent, dès qu’il en a connaissance, tout besoin d’adaptation exprimé, applique les aménagements décidés et en rend compte. Les informations relatives à la santé restent confidentielles.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Le sous-traitant ne bâtit pas son propre réseau : le donneur d’ordres lui transmet le sien.</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En sous-traitance, il suffit que le prestataire démontre un réseau de partenaires ou que son donneur d’ordres lui ait communiqué la liste de ses partenaires (indicateur 26).</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11 · Prévention des violences, du harcèlement et des discriminations</w:t>
            </w:r>
          </w:p>
          <w:p>
            <w:pPr>
              <w:spacing w:after="40" w:before="0"/>
            </w:pPr>
            <w:r>
              <w:rPr>
                <w:rFonts w:ascii="Arial" w:cs="Arial" w:eastAsia="Arial" w:hAnsi="Arial"/>
                <w:b w:val="false"/>
                <w:bCs w:val="false"/>
                <w:color w:val="1A1816"/>
                <w:sz w:val="17"/>
                <w:szCs w:val="17"/>
              </w:rPr>
              <w:t xml:space="preserve">Le Sous-traitant et ses intervenants respectent la procédure de prévention et de traitement des violences, dont les violences sexistes et sexuelles, du harcèlement et des discriminations du Donneur d’ordres, remise avec les pièces de l’annexe C, pour toutes les actions confiées, quelle que soit leur durée. Ils relaient sans délai à la référente, Mme Léa Garnier, 01 00 00 00 20 (fictif), tout signalement ou toute situation dont ils ont connaissance, sans mener d’enquête, et respectent la confidentialité.</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Nouveauté V10 : l’indicateur 12 vise la prévention et le traitement de ces situations pour les formations de plus de 2 jours. La procédure doit être connue de l’intervenant, qui est celui que les stagiaires voient.</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Une procédure portée à la connaissance des apprenants et du personnel, un référent désigné, la traçabilité des signalements. Voir le modèle de procédure du dossier.</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12 · Appréciations, réclamations et aléas</w:t>
            </w:r>
          </w:p>
          <w:p>
            <w:pPr>
              <w:spacing w:after="40" w:before="0"/>
            </w:pPr>
            <w:r>
              <w:rPr>
                <w:rFonts w:ascii="Arial" w:cs="Arial" w:eastAsia="Arial" w:hAnsi="Arial"/>
                <w:b w:val="false"/>
                <w:bCs w:val="false"/>
                <w:color w:val="1A1816"/>
                <w:sz w:val="17"/>
                <w:szCs w:val="17"/>
              </w:rPr>
              <w:t xml:space="preserve">Le Sous-traitant recueille l’appréciation des stagiaires à la fin de chaque session (questionnaire fourni par le Donneur d’ordres) et celle du Donneur d’ordres à la fin de la mission. Il transmet les résultats sous 5 jours ouvrés. Toute réclamation, difficulté ou aléa (absence, panne, incident, conflit) est signalé au Donneur d’ordres sous 24 heures ouvrées, qui la traite ; le Sous-traitant apporte les éléments nécessaires. Les parties examinent ensemble les enseignements après chaque session.</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Chaque partie a un rôle : le sous-traitant recueille et alerte, le donneur d’ordres traite et capitalise.</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Pour l’indicateur 30 en sous-traitance : l’appréciation des bénéficiaires et du donneur d’ordres. Pour l’indicateur 31 : la trace d’un aléa et de la solution apportée.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13 · Confidentialité et données personnelles</w:t>
            </w:r>
          </w:p>
          <w:p>
            <w:pPr>
              <w:spacing w:after="40" w:before="0"/>
            </w:pPr>
            <w:r>
              <w:rPr>
                <w:rFonts w:ascii="Arial" w:cs="Arial" w:eastAsia="Arial" w:hAnsi="Arial"/>
                <w:b w:val="false"/>
                <w:bCs w:val="false"/>
                <w:color w:val="1A1816"/>
                <w:sz w:val="17"/>
                <w:szCs w:val="17"/>
              </w:rPr>
              <w:t xml:space="preserve">Chaque partie garde confidentiels les informations, documents et données de l’autre, pendant le contrat et 3 ans après son terme.</w:t>
            </w:r>
          </w:p>
          <w:p>
            <w:pPr>
              <w:spacing w:after="40" w:before="0"/>
            </w:pPr>
            <w:r>
              <w:rPr>
                <w:rFonts w:ascii="Arial" w:cs="Arial" w:eastAsia="Arial" w:hAnsi="Arial"/>
                <w:b w:val="false"/>
                <w:bCs w:val="false"/>
                <w:color w:val="1A1816"/>
                <w:sz w:val="17"/>
                <w:szCs w:val="17"/>
              </w:rPr>
              <w:t xml:space="preserve">Les données personnelles des stagiaires sont traitées conformément à la réglementation applicable. Qualification des parties : le Donneur d’ordres est responsable de traitement et le Sous-traitant agit pour son compte (qualification à faire valider). Le Sous-traitant n’utilise ces données que pour l’Action, les protège, ne les transmet pas à des tiers, les restitue ou les détruit à la fin de la mission et signale sans délai toute violation de données.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Éviter que des données de stagiaires restent chez un intervenant. La qualification juridique des rôles est délicate : à faire valider par un juriste ou un délégué à la protection des données.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les stagiaires et le donneur d’ordres peuvent compter sur la confidentialité des échanges, notamment sur le handicap et les signalements.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14 · Propriété intellectuelle et communication</w:t>
            </w:r>
          </w:p>
          <w:p>
            <w:pPr>
              <w:spacing w:after="40" w:before="0"/>
            </w:pPr>
            <w:r>
              <w:rPr>
                <w:rFonts w:ascii="Arial" w:cs="Arial" w:eastAsia="Arial" w:hAnsi="Arial"/>
                <w:b w:val="false"/>
                <w:bCs w:val="false"/>
                <w:color w:val="1A1816"/>
                <w:sz w:val="17"/>
                <w:szCs w:val="17"/>
              </w:rPr>
              <w:t xml:space="preserve">Les supports préexistants de chaque partie restent sa propriété.</w:t>
            </w:r>
          </w:p>
          <w:p>
            <w:pPr>
              <w:spacing w:after="40" w:before="0"/>
            </w:pPr>
            <w:r>
              <w:rPr>
                <w:rFonts w:ascii="Arial" w:cs="Arial" w:eastAsia="Arial" w:hAnsi="Arial"/>
                <w:b w:val="false"/>
                <w:bCs w:val="false"/>
                <w:color w:val="1A1816"/>
                <w:sz w:val="17"/>
                <w:szCs w:val="17"/>
              </w:rPr>
              <w:t xml:space="preserve">Supports créés spécifiquement pour l’Action : ☐ propriété du Donneur d’ordres, avec cession des droits   ☒ propriété du Sous-traitant, avec licence d’utilisation au Donneur d’ordres pour les sessions de l’Action et ses reconductions pendant 2 ans.</w:t>
            </w:r>
          </w:p>
          <w:p>
            <w:pPr>
              <w:spacing w:after="40" w:before="0"/>
            </w:pPr>
            <w:r>
              <w:rPr>
                <w:rFonts w:ascii="Arial" w:cs="Arial" w:eastAsia="Arial" w:hAnsi="Arial"/>
                <w:b w:val="false"/>
                <w:bCs w:val="false"/>
                <w:color w:val="1A1816"/>
                <w:sz w:val="17"/>
                <w:szCs w:val="17"/>
              </w:rPr>
              <w:t xml:space="preserve">Le Sous-traitant n’utilise ni la marque, ni le logo, ni la certification du Donneur d’ordres sans son accord écrit et ne présente pas l’Action comme la sienne auprès des bénéficiaires. L’information du public sur l’Action relève du Donneur d’ordres.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Prévenir les litiges sur les supports, et éviter qu’un sous-traitant se prévale d’une certification qui n’est pas la sienne.</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L’information du public (indicateur 1) ne comporte aucune mention de nature à induire en erreur, par exemple sur la certification de celui qui forme.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15 · Assurance et responsabilité</w:t>
            </w:r>
          </w:p>
          <w:p>
            <w:pPr>
              <w:spacing w:after="40" w:before="0"/>
            </w:pPr>
            <w:r>
              <w:rPr>
                <w:rFonts w:ascii="Arial" w:cs="Arial" w:eastAsia="Arial" w:hAnsi="Arial"/>
                <w:b w:val="false"/>
                <w:bCs w:val="false"/>
                <w:color w:val="1A1816"/>
                <w:sz w:val="17"/>
                <w:szCs w:val="17"/>
              </w:rPr>
              <w:t xml:space="preserve">Chaque partie déclare être titulaire d’une assurance de responsabilité civile professionnelle couvrant les conséquences de son activité et en fournit l’attestation en cours de validité avant le début de l’Action (annexe C). Le Sous-traitant répond des dommages résultant de l’exécution de ses missions, dans la limite du plafond de sa garantie (à faire valider). Le Donneur d’ordres reste responsable de l’Action envers les bénéficiaires et les financeurs.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Demander l’attestation avant la première session. Les plafonds et exclusions sont à négocier et à faire valider.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Des justificatifs présentés par le sous-traitant, attestation d’assurance comprise, font partie des preuves de pilotage possibles.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16 · Statut du Sous-traitant et sous-traitance ultérieure</w:t>
            </w:r>
          </w:p>
          <w:p>
            <w:pPr>
              <w:spacing w:after="40" w:before="0"/>
            </w:pPr>
            <w:r>
              <w:rPr>
                <w:rFonts w:ascii="Arial" w:cs="Arial" w:eastAsia="Arial" w:hAnsi="Arial"/>
                <w:b w:val="false"/>
                <w:bCs w:val="false"/>
                <w:color w:val="1A1816"/>
                <w:sz w:val="17"/>
                <w:szCs w:val="17"/>
              </w:rPr>
              <w:t xml:space="preserve">Le Sous-traitant exerce son activité en toute indépendance et organise librement ses moyens dans le respect du cahier des charges de l’Action ; il n’est lié au Donneur d’ordres par aucun lien de subordination. Il ne confie pas tout ou partie de ses missions à un tiers sans l’accord écrit préalable du Donneur d’ordres. Il fournit avant le début de l’Action les pièces de régularité de son activité que la réglementation impose au Donneur d’ordres de recueillir (à faire confirmer par votre juriste).</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L’indépendance du sous-traitant évite le risque de requalification d’une relation de travail ; la sous-traitance en chaîne doit rester maîtrisée. Les pièces de régularité dépendent de la réglementation : à faire confirmer.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donneur d’ordres connaît tous ceux qui interviennent sur l’action, y compris en second rang.</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17 · Résiliation</w:t>
            </w:r>
          </w:p>
          <w:p>
            <w:pPr>
              <w:spacing w:after="40" w:before="0"/>
            </w:pPr>
            <w:r>
              <w:rPr>
                <w:rFonts w:ascii="Arial" w:cs="Arial" w:eastAsia="Arial" w:hAnsi="Arial"/>
                <w:b w:val="false"/>
                <w:bCs w:val="false"/>
                <w:color w:val="1A1816"/>
                <w:sz w:val="17"/>
                <w:szCs w:val="17"/>
              </w:rPr>
              <w:t xml:space="preserve">En cas de manquement grave d’une partie à ses obligations, notamment : non-respect du référentiel, non-transmission des pièces de l’annexe B après mise en demeure restée sans effet pendant 10 jours, indisponibilité répétée de l’intervenant, comportement portant atteinte aux personnes, l’autre partie peut résilier le contrat de plein droit après mise en demeure de 10 jours restée sans effet, et immédiatement en cas d’atteinte aux personnes. Les sessions réalisées sont payées au prorata. Le Sous-traitant remet les documents des sessions réalisées. Annulation d’une session par le Donneur d’ordres : conditions à préciser avec le conseil du Donneur d’ordres.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Prévoir la sortie avant d’en avoir besoin : si les preuves ne sont pas transmises, le donneur d’ordres porte le risque devant son certificateur.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donneur d’ordres a des moyens d’agir quand la conformité n’est pas assurée.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18 · Droit applicable et litiges</w:t>
            </w:r>
          </w:p>
          <w:p>
            <w:pPr>
              <w:spacing w:after="40" w:before="0"/>
            </w:pPr>
            <w:r>
              <w:rPr>
                <w:rFonts w:ascii="Arial" w:cs="Arial" w:eastAsia="Arial" w:hAnsi="Arial"/>
                <w:b w:val="false"/>
                <w:bCs w:val="false"/>
                <w:color w:val="1A1816"/>
                <w:sz w:val="17"/>
                <w:szCs w:val="17"/>
              </w:rPr>
              <w:t xml:space="preserve">Le contrat est soumis au droit français. Les parties recherchent une solution amiable. À défaut : juridiction compétente à préciser avec le conseil du Donneur d’ordres.</w:t>
            </w:r>
          </w:p>
          <w:p>
            <w:pPr>
              <w:spacing w:after="40" w:before="0"/>
            </w:pPr>
            <w:r>
              <w:rPr>
                <w:rFonts w:ascii="Arial" w:cs="Arial" w:eastAsia="Arial" w:hAnsi="Arial"/>
                <w:b w:val="false"/>
                <w:bCs w:val="false"/>
                <w:color w:val="1A1816"/>
                <w:sz w:val="17"/>
                <w:szCs w:val="17"/>
              </w:rPr>
              <w:t xml:space="preserve">Fait à Ville, le 26/10/2026, en deux exemplaires originaux.</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Dater et signer avant la première session : un contrat signé après coup ne prouve pas que les missions avaient été formalisées à l’avance (repère de terrain).</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La date de signature précède le début de l’action.</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trPr>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le Donneur d’ordres</w:t>
            </w:r>
          </w:p>
        </w:tc>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le Sous-traitant</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Élodie Sarrasin, gérante</w:t>
            </w:r>
          </w:p>
          <w:p>
            <w:pPr>
              <w:spacing w:after="40" w:before="0"/>
            </w:pPr>
            <w:r>
              <w:rPr>
                <w:rFonts w:ascii="Arial" w:cs="Arial" w:eastAsia="Arial" w:hAnsi="Arial"/>
                <w:b w:val="false"/>
                <w:bCs w:val="false"/>
                <w:color w:val="1A1816"/>
                <w:sz w:val="16"/>
                <w:szCs w:val="16"/>
              </w:rPr>
              <w:t xml:space="preserve">Signature précédée de « Lu et approuvé » :</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Nicolas Vasseur, formateur indépendant</w:t>
            </w:r>
          </w:p>
          <w:p>
            <w:pPr>
              <w:spacing w:after="40" w:before="0"/>
            </w:pPr>
            <w:r>
              <w:rPr>
                <w:rFonts w:ascii="Arial" w:cs="Arial" w:eastAsia="Arial" w:hAnsi="Arial"/>
                <w:b w:val="false"/>
                <w:bCs w:val="false"/>
                <w:color w:val="1A1816"/>
                <w:sz w:val="16"/>
                <w:szCs w:val="16"/>
              </w:rPr>
              <w:t xml:space="preserve">Signature précédée de « Lu et approuvé » :</w:t>
            </w:r>
          </w:p>
        </w:tc>
      </w:tr>
      <w:tr>
        <w:trPr>
          <w:cantSplit/>
          <w:tblHeader w:val="false"/>
          <w:trHeight w:val="900"/>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Annexe A · Fiche de l’Action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Intitulé</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Pratiquer Excel pour construire des tableaux de bord</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Public et prérequis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Salariés utilisant déjà un tableur ; prérequis : formules simples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Objectifs opérationnels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Construire un tableau croisé dynamique ; créer trois graphiques lisibles ; assembler un tableau de bord actualisable</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Programme et durées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Module 1 : organiser ses données (3 h 30) · Module 2 : tableaux croisés dynamiques (3 h 30) · Module 3 : graphiques et mise en forme (3 h 30) · Module 4 : cas pratique fil rouge et évaluation (3 h 30)</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Modalités pédagogiques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Exercices sur postes, cas pratique fil rouge, supports numériques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Évaluation des acquis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Cas pratique noté sur grille de critères observables, remise des résultats sous 5 jours ouvrés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Calendrier</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Session 1 : 17 et 18/11/2026 · Session 2 : 01 et 02/12/2026 · Session 3 : 15 et 16/12/2026 · 9 h à 12 h 30 et 13 h 30 à 17 h · locaux du Donneur d’ordres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Effectif</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8 stagiaires au maximum par session</w:t>
            </w:r>
          </w:p>
        </w:tc>
      </w:tr>
    </w:tbl>
    <w:p>
      <w:pPr>
        <w:keepNext/>
        <w:pBdr>
          <w:bottom w:val="single" w:color="1D9E75" w:sz="6" w:space="2"/>
        </w:pBdr>
        <w:spacing w:after="100" w:before="200"/>
      </w:pPr>
      <w:r>
        <w:rPr>
          <w:rFonts w:ascii="Arial" w:cs="Arial" w:eastAsia="Arial" w:hAnsi="Arial"/>
          <w:b/>
          <w:bCs/>
          <w:color w:val="137252"/>
          <w:sz w:val="22"/>
          <w:szCs w:val="22"/>
        </w:rPr>
        <w:t xml:space="preserve">Annexe B · Tableau de traçabilité de la conformité</w:t>
      </w:r>
    </w:p>
    <w:p>
      <w:pPr>
        <w:spacing w:after="60" w:before="0"/>
      </w:pPr>
      <w:r>
        <w:rPr>
          <w:rFonts w:ascii="Arial" w:cs="Arial" w:eastAsia="Arial" w:hAnsi="Arial"/>
          <w:color w:val="1A1816"/>
          <w:sz w:val="19"/>
          <w:szCs w:val="19"/>
        </w:rPr>
        <w:t xml:space="preserve">À adapter aux missions confiées (article 2) : retenez les lignes qui concernent le Sous-traitant et supprimez les autres.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00"/>
        <w:gridCol w:w="3300"/>
        <w:gridCol w:w="3406"/>
        <w:gridCol w:w="2400"/>
      </w:tblGrid>
      <w:tr>
        <w:trPr>
          <w:cantSplit/>
          <w:tblHeader/>
        </w:trPr>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fait le Sous-traitant</w:t>
            </w:r>
          </w:p>
        </w:tc>
        <w:tc>
          <w:tcPr>
            <w:tcW w:type="dxa" w:w="3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à transmettre</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Échéance</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9</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les stagiaires des conditions de déroulement (rappel du règlement intérieur et du livret remis par le Donneur d’ordres)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Émargement du premier jour portant mention de l’information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Mettre en œuvre et adapter la formation et le suivi</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Feuilles d’émargement signées ; notes d’adaptation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5 jours ouvrés après la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Évaluer l’atteinte des objectifs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Grilles d’évaluation complétées et synthèse</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5 jours ouvrés après la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Favoriser l’engagement, prévenir les ruptures, relayer tout signalement de violence, de harcèlement ou de discrimination</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Relances des absents ; attestation de lecture de la procédure ; signalements relayés, le cas échéant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session, puis à chaque événement</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17</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Moyens humains et techniques adaptés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Liste des moyens utilisés ; remarques sur les moyens fournis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et 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Ressources pédagogiques et, pour une partie à distance, suivi effectif</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Supports remis ; statistiques de connexion ou d’avancement ; relances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Compétences de l’intervenant</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CV, diplômes, preuve de formation continue</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session, puis chaque année</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des personnes en situation de handicap</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suivi d’aménagement, le cas échéant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chaque besoin exprimé</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30</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Appréciations des stagiaires et du Donneur d’ordres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Questionnaires à chaud, synthèse, fiche d’appréciation du Donneur d’ordres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5 jours ouvrés 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Réclamations, difficultés, aléas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Signalement au Donneur d’ordres sous 24 heures ; trace de la solution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 fil de l’eau</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à 8</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 la mission inclut la conception : analyse du besoin, objectifs, contenus, positionnement</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Documents de conception et de positionnement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session</w:t>
            </w:r>
          </w:p>
        </w:tc>
      </w:tr>
    </w:tbl>
    <w:p>
      <w:pPr>
        <w:spacing w:after="60" w:before="100"/>
      </w:pPr>
      <w:r>
        <w:rPr>
          <w:rFonts w:ascii="Arial" w:cs="Arial" w:eastAsia="Arial" w:hAnsi="Arial"/>
          <w:i/>
          <w:iCs/>
          <w:color w:val="5F5850"/>
          <w:sz w:val="16"/>
          <w:szCs w:val="16"/>
        </w:rPr>
        <w:t xml:space="preserve">Les indicateurs 1, 2 et 3 ne sont pas applicables au Sous-traitant : le Donneur d’ordres informe le public et publie les indicateurs de résultats (document de travail du guide V10). Les échéances sont des choix des parties, pas des exigences du référentiel.</w:t>
      </w:r>
    </w:p>
    <w:p>
      <w:pPr>
        <w:keepNext/>
        <w:pageBreakBefore/>
        <w:pBdr>
          <w:bottom w:val="single" w:color="1D9E75" w:sz="6" w:space="2"/>
        </w:pBdr>
        <w:spacing w:after="100" w:before="0"/>
      </w:pPr>
      <w:r>
        <w:rPr>
          <w:rFonts w:ascii="Arial" w:cs="Arial" w:eastAsia="Arial" w:hAnsi="Arial"/>
          <w:b/>
          <w:bCs/>
          <w:color w:val="137252"/>
          <w:sz w:val="22"/>
          <w:szCs w:val="22"/>
        </w:rPr>
        <w:t xml:space="preserve">Annexe C · Pièces à fournir avant la première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000"/>
        <w:gridCol w:w="2200"/>
        <w:gridCol w:w="1500"/>
        <w:gridCol w:w="1206"/>
      </w:tblGrid>
      <w:tr>
        <w:trPr>
          <w:cantSplit/>
          <w:tblHeader/>
        </w:trPr>
        <w:tc>
          <w:tcPr>
            <w:tcW w:type="dxa" w:w="5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Pièce</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Fournie par</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Reçue le</w:t>
            </w:r>
          </w:p>
        </w:tc>
        <w:tc>
          <w:tcPr>
            <w:tcW w:type="dxa" w:w="1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Reçue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Attestation d’assurance de responsabilité civile professionnelle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 et 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20/10/2026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Extrait d’immatriculation ou équivalent, déclaration d’activité s’il y a lieu</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Pièces de régularité exigées par la réglementation (à faire confirmer)</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22/10/2026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CV, diplômes et preuves de compétences de l’intervenant</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20/10/2026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Procédure de prévention et de traitement des violences, du harcèlement et des discriminations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Règlement intérieur, livret d’accueil, convocation type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22/10/2026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Liste des partenaires mobilisables pour le handicap et nom du référent</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20/10/2026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Questionnaires d’appréciation et grille d’évaluation des acquis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21/10/2026</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p>
      <w:pPr>
        <w:pageBreakBefore/>
        <w:shd w:fill="E8593C" w:color="auto" w:val="clear"/>
        <w:spacing w:after="180" w:before="0"/>
        <w:ind w:left="0"/>
      </w:pPr>
      <w:r>
        <w:rPr>
          <w:rFonts w:ascii="Arial" w:cs="Arial" w:eastAsia="Arial" w:hAnsi="Arial"/>
          <w:b/>
          <w:bCs/>
          <w:color w:val="FFFFFF"/>
          <w:sz w:val="17"/>
          <w:szCs w:val="17"/>
        </w:rPr>
        <w:t xml:space="preserve">K-li-T · Modèle Qualiopi V10 · Contrat de sous-traitance · Version vierge à remplir</w:t>
      </w:r>
    </w:p>
    <w:p>
      <w:pPr>
        <w:spacing w:after="60" w:before="0"/>
      </w:pPr>
      <w:r>
        <w:rPr>
          <w:rFonts w:ascii="Arial" w:cs="Arial" w:eastAsia="Arial" w:hAnsi="Arial"/>
          <w:b/>
          <w:bCs/>
          <w:color w:val="1A1816"/>
          <w:sz w:val="34"/>
          <w:szCs w:val="34"/>
        </w:rPr>
        <w:t xml:space="preserve">Contrat de sous-traitance d’actions de formation</w:t>
      </w:r>
    </w:p>
    <w:p>
      <w:pPr>
        <w:spacing w:after="140" w:before="0"/>
      </w:pPr>
      <w:r>
        <w:rPr>
          <w:rFonts w:ascii="Arial" w:cs="Arial" w:eastAsia="Arial" w:hAnsi="Arial"/>
          <w:i/>
          <w:iCs/>
          <w:color w:val="5F5850"/>
          <w:sz w:val="19"/>
          <w:szCs w:val="19"/>
        </w:rPr>
        <w:t xml:space="preserve">Contrat n° [numéro] du [date] · à adapter à votre organisme, à faire relire par un juriste</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rPr>
          <w:cantSplit/>
          <w:tblHeader w:val="false"/>
        </w:trPr>
        <w:tc>
          <w:tcPr>
            <w:tcW w:type="dxa" w:w="9906"/>
            <w:tcBorders>
              <w:top w:val="single" w:color="E6E0D6" w:sz="4"/>
              <w:left w:val="single" w:color="E6E0D6" w:sz="4"/>
              <w:bottom w:val="single" w:color="E6E0D6" w:sz="4"/>
              <w:right w:val="single" w:color="E6E0D6" w:sz="4"/>
            </w:tcBorders>
            <w:shd w:fill="FBE6DF"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8"/>
                <w:szCs w:val="18"/>
              </w:rPr>
              <w:t xml:space="preserve">Modèle indicatif, à faire relire par un juriste avant signature. </w:t>
            </w:r>
            <w:r>
              <w:rPr>
                <w:rFonts w:ascii="Arial" w:cs="Arial" w:eastAsia="Arial" w:hAnsi="Arial"/>
                <w:b w:val="false"/>
                <w:bCs w:val="false"/>
                <w:color w:val="1A1816"/>
                <w:sz w:val="18"/>
                <w:szCs w:val="18"/>
              </w:rPr>
              <w:t xml:space="preserve">Les commentaires du cadre vert ne font pas partie du contrat : supprimez-les avant signature. Les crochets sont à compléter ou à remplacer.</w:t>
            </w:r>
          </w:p>
        </w:tc>
      </w:tr>
    </w:tbl>
    <w:p>
      <w:pPr>
        <w:spacing w:after="80" w:before="0"/>
      </w:pPr>
    </w:p>
    <w:p>
      <w:pPr>
        <w:keepNext/>
        <w:pBdr>
          <w:bottom w:val="single" w:color="1D9E75" w:sz="6" w:space="2"/>
        </w:pBdr>
        <w:spacing w:after="100" w:before="200"/>
      </w:pPr>
      <w:r>
        <w:rPr>
          <w:rFonts w:ascii="Arial" w:cs="Arial" w:eastAsia="Arial" w:hAnsi="Arial"/>
          <w:b/>
          <w:bCs/>
          <w:color w:val="137252"/>
          <w:sz w:val="22"/>
          <w:szCs w:val="22"/>
        </w:rPr>
        <w:t xml:space="preserve">Entre les soussignés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300"/>
        <w:gridCol w:w="3803"/>
        <w:gridCol w:w="3803"/>
      </w:tblGrid>
      <w:tr>
        <w:trPr>
          <w:cantSplit/>
          <w:tblHeader/>
        </w:trPr>
        <w:tc>
          <w:tcPr>
            <w:tcW w:type="dxa" w:w="2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 </w:t>
            </w:r>
          </w:p>
        </w:tc>
        <w:tc>
          <w:tcPr>
            <w:tcW w:type="dxa" w:w="380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Le donneur d’ordres</w:t>
            </w:r>
          </w:p>
        </w:tc>
        <w:tc>
          <w:tcPr>
            <w:tcW w:type="dxa" w:w="380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Le sous-traitant</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Dénomination</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[Dénomination, forme juridique]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[Dénomination, forme juridique, ou nom de l’entrepreneur individuel]</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SIRET</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[Numéro]</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[Numéro]</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N° de déclaration d’activité</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[Numéro]</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[Numéro, ou « sans objet »]</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Siège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[Adresse]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[Adresse]</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Représenté(e) par</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qualité]</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[Nom, qualité]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Certification qualité</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Certifié au titre du référentiel national qualité, catégorie : [ ], par [organisme certificateur], valide jusqu’au [date]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 Certifié, catégorie : [ ]   ☐ Non certifié</w:t>
            </w:r>
          </w:p>
        </w:tc>
      </w:tr>
      <w:tr>
        <w:trPr>
          <w:cantSplit/>
          <w:tblHeader w:val="false"/>
        </w:trPr>
        <w:tc>
          <w:tcPr>
            <w:tcW w:type="dxa" w:w="23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Assurance responsabilité civile professionnelle</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[Compagnie, n° de contrat, validité]</w:t>
            </w:r>
          </w:p>
        </w:tc>
        <w:tc>
          <w:tcPr>
            <w:tcW w:type="dxa" w:w="380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[Compagnie, n° de contrat, validité]</w:t>
            </w:r>
          </w:p>
        </w:tc>
      </w:tr>
    </w:tbl>
    <w:p>
      <w:pPr>
        <w:spacing w:after="60" w:before="100"/>
      </w:pPr>
      <w:r>
        <w:rPr>
          <w:rFonts w:ascii="Arial" w:cs="Arial" w:eastAsia="Arial" w:hAnsi="Arial"/>
          <w:i/>
          <w:iCs/>
          <w:color w:val="5F5850"/>
          <w:sz w:val="16"/>
          <w:szCs w:val="16"/>
        </w:rPr>
        <w:t xml:space="preserve">Ci-après désignés « le Donneur d’ordres », « le Sous-traitant » et ensemble « les parties ». Pour un portage salarial, désignez la société de portage et adaptez les articles 16 et 17.</w:t>
      </w:r>
    </w:p>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6300"/>
        <w:gridCol w:w="3606"/>
      </w:tblGrid>
      <w:tr>
        <w:trPr>
          <w:cantSplit/>
          <w:tblHeader/>
        </w:trPr>
        <w:tc>
          <w:tcPr>
            <w:tcW w:type="dxa" w:w="6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Clause du contrat</w:t>
            </w:r>
          </w:p>
        </w:tc>
        <w:tc>
          <w:tcPr>
            <w:tcW w:type="dxa" w:w="36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Commentaire K-li-T (hors contrat)</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Préambule</w:t>
            </w:r>
          </w:p>
          <w:p>
            <w:pPr>
              <w:spacing w:after="40" w:before="0"/>
            </w:pPr>
            <w:r>
              <w:rPr>
                <w:rFonts w:ascii="Arial" w:cs="Arial" w:eastAsia="Arial" w:hAnsi="Arial"/>
                <w:b w:val="false"/>
                <w:bCs w:val="false"/>
                <w:color w:val="1A1816"/>
                <w:sz w:val="17"/>
                <w:szCs w:val="17"/>
              </w:rPr>
              <w:t xml:space="preserve">Le Donneur d’ordres est un organisme de formation. Dans le cadre de [son activité, de la demande d’un client ou d’un financeur], il confie au Sous-traitant, qui l’accepte, la réalisation de tout ou partie de l’action décrite ci-après. Le Donneur d’ordres reste responsable de l’action à l’égard des bénéficiaires, des clients et des financeurs. Le présent contrat précise les missions confiées et les engagements de chacun, y compris au regard du référentiel national qualité.</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Poser le cadre : qui est responsable envers qui. Le sous-traitant n’est pas tenu d’être certifié en dehors des cas légaux ; la responsabilité de la qualité reste au donneur d’ordres.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donneur d’ordres a bien organisé la chaîne de la qualité jusqu’au sous-traitant (indicateur 27).</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 · Objet du contrat</w:t>
            </w:r>
          </w:p>
          <w:p>
            <w:pPr>
              <w:spacing w:after="40" w:before="0"/>
            </w:pPr>
            <w:r>
              <w:rPr>
                <w:rFonts w:ascii="Arial" w:cs="Arial" w:eastAsia="Arial" w:hAnsi="Arial"/>
                <w:b w:val="false"/>
                <w:bCs w:val="false"/>
                <w:color w:val="1A1816"/>
                <w:sz w:val="17"/>
                <w:szCs w:val="17"/>
              </w:rPr>
              <w:t xml:space="preserve">Le présent contrat a pour objet la réalisation par le Sous-traitant de l’action de formation suivante : [intitulé, nombre de sessions] (ci-après « l’Action »), pour le compte du Donneur d’ordres, dans les conditions fixées ci-après et dans les annexes, qui font partie du contrat. Le Sous-traitant agit pour le compte du Donneur d’ordres sans le représenter auprès des tiers.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Identifier l’action sans ambiguïté.</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 document de travail demande un contrat qui formalise les missions confiées. Sans contrat identifiant ces missions, le certificateur vérifie tous les indicateurs applicables à la catégorie d’actions.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2 · Missions confiées et répartition</w:t>
            </w:r>
          </w:p>
          <w:p>
            <w:pPr>
              <w:spacing w:after="40" w:before="0"/>
            </w:pPr>
            <w:r>
              <w:rPr>
                <w:rFonts w:ascii="Arial" w:cs="Arial" w:eastAsia="Arial" w:hAnsi="Arial"/>
                <w:b w:val="false"/>
                <w:bCs w:val="false"/>
                <w:color w:val="1A1816"/>
                <w:sz w:val="17"/>
                <w:szCs w:val="17"/>
              </w:rPr>
              <w:t xml:space="preserve">Les missions sont réparties comme suit (DO : Donneur d’ordres ; ST : Sous-traitant). Toute mission non mentionnée reste au Donneur d’ordres.</w:t>
            </w:r>
          </w:p>
          <w:p>
            <w:pPr>
              <w:spacing w:after="40" w:before="0"/>
            </w:pPr>
            <w:r>
              <w:rPr>
                <w:rFonts w:ascii="Arial" w:cs="Arial" w:eastAsia="Arial" w:hAnsi="Arial"/>
                <w:b/>
                <w:bCs/>
                <w:color w:val="1A1816"/>
                <w:sz w:val="17"/>
                <w:szCs w:val="17"/>
              </w:rPr>
              <w:t xml:space="preserve">Information du public sur l’Action (site, fiches, devis)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Analyse du besoin avec le client et définition des objectifs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Conception du programme et des supports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Positionnement des stagiaires (questionnaire d’entrée)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Convocation, livret d’accueil, règlement intérieur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Animation des sessions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Émargement et suivi de l’assiduité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Évaluation des acquis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Appréciation des stagiaires à chaud et du Donneur d’ordres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Traitement des réclamations, difficultés et aléas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Référent handicap et référent des signalements : </w:t>
            </w:r>
            <w:r>
              <w:rPr>
                <w:rFonts w:ascii="Arial" w:cs="Arial" w:eastAsia="Arial" w:hAnsi="Arial"/>
                <w:b w:val="false"/>
                <w:bCs w:val="false"/>
                <w:color w:val="1A1816"/>
                <w:sz w:val="17"/>
                <w:szCs w:val="17"/>
              </w:rPr>
              <w:t xml:space="preserve">☐ DO   ☐ ST</w:t>
            </w:r>
          </w:p>
          <w:p>
            <w:pPr>
              <w:spacing w:after="40" w:before="0"/>
            </w:pPr>
            <w:r>
              <w:rPr>
                <w:rFonts w:ascii="Arial" w:cs="Arial" w:eastAsia="Arial" w:hAnsi="Arial"/>
                <w:b/>
                <w:bCs/>
                <w:color w:val="1A1816"/>
                <w:sz w:val="17"/>
                <w:szCs w:val="17"/>
              </w:rPr>
              <w:t xml:space="preserve">Publication des indicateurs de résultats : </w:t>
            </w:r>
            <w:r>
              <w:rPr>
                <w:rFonts w:ascii="Arial" w:cs="Arial" w:eastAsia="Arial" w:hAnsi="Arial"/>
                <w:b w:val="false"/>
                <w:bCs w:val="false"/>
                <w:color w:val="1A1816"/>
                <w:sz w:val="17"/>
                <w:szCs w:val="17"/>
              </w:rPr>
              <w:t xml:space="preserve">☐ DO   ☐ ST</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La répartition décide des indicateurs vérifiés chez le sous-traitant : ceux qui correspondent aux missions confiées.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Les indicateurs 1, 2 et 3 ne s’appliquent pas au sous-traitant : le donneur d’ordres informe le public et publie les indicateurs de résultats (document de travail). Pour l’indicateur 30, le sous-traitant recueille l’appréciation des bénéficiaires et du donneur d’ordres.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3 · Contenu et sanction de la formation</w:t>
            </w:r>
          </w:p>
          <w:p>
            <w:pPr>
              <w:spacing w:after="40" w:before="0"/>
            </w:pPr>
            <w:r>
              <w:rPr>
                <w:rFonts w:ascii="Arial" w:cs="Arial" w:eastAsia="Arial" w:hAnsi="Arial"/>
                <w:b/>
                <w:bCs/>
                <w:color w:val="1A1816"/>
                <w:sz w:val="17"/>
                <w:szCs w:val="17"/>
              </w:rPr>
              <w:t xml:space="preserve">Intitulé : </w:t>
            </w:r>
            <w:r>
              <w:rPr>
                <w:rFonts w:ascii="Arial" w:cs="Arial" w:eastAsia="Arial" w:hAnsi="Arial"/>
                <w:b w:val="false"/>
                <w:bCs w:val="false"/>
                <w:color w:val="1A1816"/>
                <w:sz w:val="17"/>
                <w:szCs w:val="17"/>
              </w:rPr>
              <w:t xml:space="preserve">[Intitulé exact]</w:t>
            </w:r>
          </w:p>
          <w:p>
            <w:pPr>
              <w:spacing w:after="40" w:before="0"/>
            </w:pPr>
            <w:r>
              <w:rPr>
                <w:rFonts w:ascii="Arial" w:cs="Arial" w:eastAsia="Arial" w:hAnsi="Arial"/>
                <w:b/>
                <w:bCs/>
                <w:color w:val="1A1816"/>
                <w:sz w:val="17"/>
                <w:szCs w:val="17"/>
              </w:rPr>
              <w:t xml:space="preserve">Public et prérequis : </w:t>
            </w:r>
            <w:r>
              <w:rPr>
                <w:rFonts w:ascii="Arial" w:cs="Arial" w:eastAsia="Arial" w:hAnsi="Arial"/>
                <w:b w:val="false"/>
                <w:bCs w:val="false"/>
                <w:color w:val="1A1816"/>
                <w:sz w:val="17"/>
                <w:szCs w:val="17"/>
              </w:rPr>
              <w:t xml:space="preserve">[Public visé, prérequis]</w:t>
            </w:r>
          </w:p>
          <w:p>
            <w:pPr>
              <w:spacing w:after="40" w:before="0"/>
            </w:pPr>
            <w:r>
              <w:rPr>
                <w:rFonts w:ascii="Arial" w:cs="Arial" w:eastAsia="Arial" w:hAnsi="Arial"/>
                <w:b/>
                <w:bCs/>
                <w:color w:val="1A1816"/>
                <w:sz w:val="17"/>
                <w:szCs w:val="17"/>
              </w:rPr>
              <w:t xml:space="preserve">Objectifs opérationnels : </w:t>
            </w:r>
            <w:r>
              <w:rPr>
                <w:rFonts w:ascii="Arial" w:cs="Arial" w:eastAsia="Arial" w:hAnsi="Arial"/>
                <w:b w:val="false"/>
                <w:bCs w:val="false"/>
                <w:color w:val="1A1816"/>
                <w:sz w:val="17"/>
                <w:szCs w:val="17"/>
              </w:rPr>
              <w:t xml:space="preserve">[Trois ou quatre objectifs évaluables]</w:t>
            </w:r>
          </w:p>
          <w:p>
            <w:pPr>
              <w:spacing w:after="40" w:before="0"/>
            </w:pPr>
            <w:r>
              <w:rPr>
                <w:rFonts w:ascii="Arial" w:cs="Arial" w:eastAsia="Arial" w:hAnsi="Arial"/>
                <w:b/>
                <w:bCs/>
                <w:color w:val="1A1816"/>
                <w:sz w:val="17"/>
                <w:szCs w:val="17"/>
              </w:rPr>
              <w:t xml:space="preserve">Programme : </w:t>
            </w:r>
            <w:r>
              <w:rPr>
                <w:rFonts w:ascii="Arial" w:cs="Arial" w:eastAsia="Arial" w:hAnsi="Arial"/>
                <w:b w:val="false"/>
                <w:bCs w:val="false"/>
                <w:color w:val="1A1816"/>
                <w:sz w:val="17"/>
                <w:szCs w:val="17"/>
              </w:rPr>
              <w:t xml:space="preserve">[Modules, durées : annexe A]</w:t>
            </w:r>
          </w:p>
          <w:p>
            <w:pPr>
              <w:spacing w:after="40" w:before="0"/>
            </w:pPr>
            <w:r>
              <w:rPr>
                <w:rFonts w:ascii="Arial" w:cs="Arial" w:eastAsia="Arial" w:hAnsi="Arial"/>
                <w:b/>
                <w:bCs/>
                <w:color w:val="1A1816"/>
                <w:sz w:val="17"/>
                <w:szCs w:val="17"/>
              </w:rPr>
              <w:t xml:space="preserve">Modalités pédagogiques et d’évaluation : </w:t>
            </w:r>
            <w:r>
              <w:rPr>
                <w:rFonts w:ascii="Arial" w:cs="Arial" w:eastAsia="Arial" w:hAnsi="Arial"/>
                <w:b w:val="false"/>
                <w:bCs w:val="false"/>
                <w:color w:val="1A1816"/>
                <w:sz w:val="17"/>
                <w:szCs w:val="17"/>
              </w:rPr>
              <w:t xml:space="preserve">[Méthodes ; outils d’évaluation des acquis]</w:t>
            </w:r>
          </w:p>
          <w:p>
            <w:pPr>
              <w:spacing w:after="40" w:before="0"/>
            </w:pPr>
            <w:r>
              <w:rPr>
                <w:rFonts w:ascii="Arial" w:cs="Arial" w:eastAsia="Arial" w:hAnsi="Arial"/>
                <w:b/>
                <w:bCs/>
                <w:color w:val="1A1816"/>
                <w:sz w:val="17"/>
                <w:szCs w:val="17"/>
              </w:rPr>
              <w:t xml:space="preserve">Sanction de la formation : </w:t>
            </w:r>
            <w:r>
              <w:rPr>
                <w:rFonts w:ascii="Arial" w:cs="Arial" w:eastAsia="Arial" w:hAnsi="Arial"/>
                <w:b w:val="false"/>
                <w:bCs w:val="false"/>
                <w:color w:val="1A1816"/>
                <w:sz w:val="17"/>
                <w:szCs w:val="17"/>
              </w:rPr>
              <w:t xml:space="preserve">☐ attestation de fin de formation   ☐ certification professionnelle : intitulé exact, code RNCP ou RS, certificateur   ☐ autre : […]</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Première mention attendue. La « sanction » désigne ce que la formation délivre. Si l’action prépare une certification, indiquez le libellé exact, le code RNCP ou RS et le certificateur.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La cohérence entre le contenu du contrat, la fiche programme publiée par le donneur d’ordres et ce qui est réalisé (indicateurs 1, 4 à 8).</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4 · Moyens mobilisés</w:t>
            </w:r>
          </w:p>
          <w:p>
            <w:pPr>
              <w:spacing w:after="40" w:before="0"/>
            </w:pPr>
            <w:r>
              <w:rPr>
                <w:rFonts w:ascii="Arial" w:cs="Arial" w:eastAsia="Arial" w:hAnsi="Arial"/>
                <w:b/>
                <w:bCs/>
                <w:color w:val="1A1816"/>
                <w:sz w:val="17"/>
                <w:szCs w:val="17"/>
              </w:rPr>
              <w:t xml:space="preserve">Moyens humains : </w:t>
            </w:r>
            <w:r>
              <w:rPr>
                <w:rFonts w:ascii="Arial" w:cs="Arial" w:eastAsia="Arial" w:hAnsi="Arial"/>
                <w:b w:val="false"/>
                <w:bCs w:val="false"/>
                <w:color w:val="1A1816"/>
                <w:sz w:val="17"/>
                <w:szCs w:val="17"/>
              </w:rPr>
              <w:t xml:space="preserve">[Nom(s) et qualifications de l’intervenant ; CV et diplômes en annexe C]</w:t>
            </w:r>
          </w:p>
          <w:p>
            <w:pPr>
              <w:spacing w:after="40" w:before="0"/>
            </w:pPr>
            <w:r>
              <w:rPr>
                <w:rFonts w:ascii="Arial" w:cs="Arial" w:eastAsia="Arial" w:hAnsi="Arial"/>
                <w:b/>
                <w:bCs/>
                <w:color w:val="1A1816"/>
                <w:sz w:val="17"/>
                <w:szCs w:val="17"/>
              </w:rPr>
              <w:t xml:space="preserve">Moyens techniques et logistiques : </w:t>
            </w:r>
            <w:r>
              <w:rPr>
                <w:rFonts w:ascii="Arial" w:cs="Arial" w:eastAsia="Arial" w:hAnsi="Arial"/>
                <w:b w:val="false"/>
                <w:bCs w:val="false"/>
                <w:color w:val="1A1816"/>
                <w:sz w:val="17"/>
                <w:szCs w:val="17"/>
              </w:rPr>
              <w:t xml:space="preserve">[Salle, postes, plateforme, matériel : fournis par le Donneur d’ordres ou par le Sous-traitant]</w:t>
            </w:r>
          </w:p>
          <w:p>
            <w:pPr>
              <w:spacing w:after="40" w:before="0"/>
            </w:pPr>
            <w:r>
              <w:rPr>
                <w:rFonts w:ascii="Arial" w:cs="Arial" w:eastAsia="Arial" w:hAnsi="Arial"/>
                <w:b/>
                <w:bCs/>
                <w:color w:val="1A1816"/>
                <w:sz w:val="17"/>
                <w:szCs w:val="17"/>
              </w:rPr>
              <w:t xml:space="preserve">Moyens pédagogiques : </w:t>
            </w:r>
            <w:r>
              <w:rPr>
                <w:rFonts w:ascii="Arial" w:cs="Arial" w:eastAsia="Arial" w:hAnsi="Arial"/>
                <w:b w:val="false"/>
                <w:bCs w:val="false"/>
                <w:color w:val="1A1816"/>
                <w:sz w:val="17"/>
                <w:szCs w:val="17"/>
              </w:rPr>
              <w:t xml:space="preserve">[Supports : fournis par…]</w:t>
            </w:r>
          </w:p>
          <w:p>
            <w:pPr>
              <w:spacing w:after="40" w:before="0"/>
            </w:pPr>
            <w:r>
              <w:rPr>
                <w:rFonts w:ascii="Arial" w:cs="Arial" w:eastAsia="Arial" w:hAnsi="Arial"/>
                <w:b w:val="false"/>
                <w:bCs w:val="false"/>
                <w:color w:val="1A1816"/>
                <w:sz w:val="17"/>
                <w:szCs w:val="17"/>
              </w:rPr>
              <w:t xml:space="preserve">Tout remplacement de l’intervenant est soumis à l’accord écrit préalable du Donneur d’ordres, qui peut demander les pièces justifiant les compétences du remplaçant.</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Deuxième mention attendue. Prévoir le remplacement évite qu’une défaillance de dernière minute se règle hors contrat.</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les moyens sont adaptés à l’effectif et aux objectifs (indicateur 17) et que les compétences de l’intervenant ont été vérifiées avant la prestation (indicateur 21).</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5 · Conditions de réalisation et de suivi de l’Action</w:t>
            </w:r>
          </w:p>
          <w:p>
            <w:pPr>
              <w:spacing w:after="40" w:before="0"/>
            </w:pPr>
            <w:r>
              <w:rPr>
                <w:rFonts w:ascii="Arial" w:cs="Arial" w:eastAsia="Arial" w:hAnsi="Arial"/>
                <w:b/>
                <w:bCs/>
                <w:color w:val="1A1816"/>
                <w:sz w:val="17"/>
                <w:szCs w:val="17"/>
              </w:rPr>
              <w:t xml:space="preserve">Effectif et lieu : </w:t>
            </w:r>
            <w:r>
              <w:rPr>
                <w:rFonts w:ascii="Arial" w:cs="Arial" w:eastAsia="Arial" w:hAnsi="Arial"/>
                <w:b w:val="false"/>
                <w:bCs w:val="false"/>
                <w:color w:val="1A1816"/>
                <w:sz w:val="17"/>
                <w:szCs w:val="17"/>
              </w:rPr>
              <w:t xml:space="preserve">[Effectif maximal ; adresse ou modalités à distance]</w:t>
            </w:r>
          </w:p>
          <w:p>
            <w:pPr>
              <w:spacing w:after="40" w:before="0"/>
            </w:pPr>
            <w:r>
              <w:rPr>
                <w:rFonts w:ascii="Arial" w:cs="Arial" w:eastAsia="Arial" w:hAnsi="Arial"/>
                <w:b/>
                <w:bCs/>
                <w:color w:val="1A1816"/>
                <w:sz w:val="17"/>
                <w:szCs w:val="17"/>
              </w:rPr>
              <w:t xml:space="preserve">Suivi de l’assiduité : </w:t>
            </w:r>
            <w:r>
              <w:rPr>
                <w:rFonts w:ascii="Arial" w:cs="Arial" w:eastAsia="Arial" w:hAnsi="Arial"/>
                <w:b w:val="false"/>
                <w:bCs w:val="false"/>
                <w:color w:val="1A1816"/>
                <w:sz w:val="17"/>
                <w:szCs w:val="17"/>
              </w:rPr>
              <w:t xml:space="preserve">[Feuille d’émargement par demi-journée ; pour une partie à distance : preuves de suivi effectif (connexions, avancement, relances)]</w:t>
            </w:r>
          </w:p>
          <w:p>
            <w:pPr>
              <w:spacing w:after="40" w:before="0"/>
            </w:pPr>
            <w:r>
              <w:rPr>
                <w:rFonts w:ascii="Arial" w:cs="Arial" w:eastAsia="Arial" w:hAnsi="Arial"/>
                <w:b/>
                <w:bCs/>
                <w:color w:val="1A1816"/>
                <w:sz w:val="17"/>
                <w:szCs w:val="17"/>
              </w:rPr>
              <w:t xml:space="preserve">Évaluation des acquis : </w:t>
            </w:r>
            <w:r>
              <w:rPr>
                <w:rFonts w:ascii="Arial" w:cs="Arial" w:eastAsia="Arial" w:hAnsi="Arial"/>
                <w:b w:val="false"/>
                <w:bCs w:val="false"/>
                <w:color w:val="1A1816"/>
                <w:sz w:val="17"/>
                <w:szCs w:val="17"/>
              </w:rPr>
              <w:t xml:space="preserve">[Grille fournie par…, résultats remis sous…]</w:t>
            </w:r>
          </w:p>
          <w:p>
            <w:pPr>
              <w:spacing w:after="40" w:before="0"/>
            </w:pPr>
            <w:r>
              <w:rPr>
                <w:rFonts w:ascii="Arial" w:cs="Arial" w:eastAsia="Arial" w:hAnsi="Arial"/>
                <w:b/>
                <w:bCs/>
                <w:color w:val="1A1816"/>
                <w:sz w:val="17"/>
                <w:szCs w:val="17"/>
              </w:rPr>
              <w:t xml:space="preserve">Pilotage : </w:t>
            </w:r>
            <w:r>
              <w:rPr>
                <w:rFonts w:ascii="Arial" w:cs="Arial" w:eastAsia="Arial" w:hAnsi="Arial"/>
                <w:b w:val="false"/>
                <w:bCs w:val="false"/>
                <w:color w:val="1A1816"/>
                <w:sz w:val="17"/>
                <w:szCs w:val="17"/>
              </w:rPr>
              <w:t xml:space="preserve">[Points d’étape : fréquence, interlocuteurs]</w:t>
            </w:r>
          </w:p>
          <w:p>
            <w:pPr>
              <w:spacing w:after="40" w:before="0"/>
            </w:pPr>
            <w:r>
              <w:rPr>
                <w:rFonts w:ascii="Arial" w:cs="Arial" w:eastAsia="Arial" w:hAnsi="Arial"/>
                <w:b/>
                <w:bCs/>
                <w:color w:val="1A1816"/>
                <w:sz w:val="17"/>
                <w:szCs w:val="17"/>
              </w:rPr>
              <w:t xml:space="preserve">Contrôles : </w:t>
            </w:r>
            <w:r>
              <w:rPr>
                <w:rFonts w:ascii="Arial" w:cs="Arial" w:eastAsia="Arial" w:hAnsi="Arial"/>
                <w:b w:val="false"/>
                <w:bCs w:val="false"/>
                <w:color w:val="1A1816"/>
                <w:sz w:val="17"/>
                <w:szCs w:val="17"/>
              </w:rPr>
              <w:t xml:space="preserve">Le Sous-traitant accepte les vérifications du Donneur d’ordres, de son organisme certificateur et des financeurs : accès aux documents et observation d’une séance.</w:t>
            </w:r>
          </w:p>
          <w:p>
            <w:pPr>
              <w:spacing w:after="40" w:before="0"/>
            </w:pPr>
            <w:r>
              <w:rPr>
                <w:rFonts w:ascii="Arial" w:cs="Arial" w:eastAsia="Arial" w:hAnsi="Arial"/>
                <w:b w:val="false"/>
                <w:bCs w:val="false"/>
                <w:color w:val="1A1816"/>
                <w:sz w:val="17"/>
                <w:szCs w:val="17"/>
              </w:rPr>
              <w:t xml:space="preserve">Le Sous-traitant informe immédiatement le Donneur d’ordres de tout événement affectant l’Action : absence de stagiaire, incident, indisponibilité, difficulté technique.</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Troisième mention attendue. Ce sont ces conditions qui rendent la preuve possible : émargement, évaluation, suivi du distanciel.</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suivi de l’action est réel (indicateurs 10, 11) et, pour une partie à distance, que l’effectivité du suivi est vérifiée : relances, alertes, statistiques (indicateur 19). Aucun seuil de relance officiel n’est publié : il est celui des parties.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6 · Durée</w:t>
            </w:r>
          </w:p>
          <w:p>
            <w:pPr>
              <w:spacing w:after="40" w:before="0"/>
            </w:pPr>
            <w:r>
              <w:rPr>
                <w:rFonts w:ascii="Arial" w:cs="Arial" w:eastAsia="Arial" w:hAnsi="Arial"/>
                <w:b/>
                <w:bCs/>
                <w:color w:val="1A1816"/>
                <w:sz w:val="17"/>
                <w:szCs w:val="17"/>
              </w:rPr>
              <w:t xml:space="preserve">Durée de l’Action : </w:t>
            </w:r>
            <w:r>
              <w:rPr>
                <w:rFonts w:ascii="Arial" w:cs="Arial" w:eastAsia="Arial" w:hAnsi="Arial"/>
                <w:b w:val="false"/>
                <w:bCs w:val="false"/>
                <w:color w:val="1A1816"/>
                <w:sz w:val="17"/>
                <w:szCs w:val="17"/>
              </w:rPr>
              <w:t xml:space="preserve">[Nombre d’heures et de jours par session ; nombre de sessions]</w:t>
            </w:r>
          </w:p>
          <w:p>
            <w:pPr>
              <w:spacing w:after="40" w:before="0"/>
            </w:pPr>
            <w:r>
              <w:rPr>
                <w:rFonts w:ascii="Arial" w:cs="Arial" w:eastAsia="Arial" w:hAnsi="Arial"/>
                <w:b/>
                <w:bCs/>
                <w:color w:val="1A1816"/>
                <w:sz w:val="17"/>
                <w:szCs w:val="17"/>
              </w:rPr>
              <w:t xml:space="preserve">Durée du contrat : </w:t>
            </w:r>
            <w:r>
              <w:rPr>
                <w:rFonts w:ascii="Arial" w:cs="Arial" w:eastAsia="Arial" w:hAnsi="Arial"/>
                <w:b w:val="false"/>
                <w:bCs w:val="false"/>
                <w:color w:val="1A1816"/>
                <w:sz w:val="17"/>
                <w:szCs w:val="17"/>
              </w:rPr>
              <w:t xml:space="preserve">Le contrat prend effet à sa signature et prend fin le [date], après remise des pièces de l’annexe B.</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Quatrième mention attendue. La durée de la formation et la durée du contrat sont deux choses différentes : écrivez les deux.</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La durée annoncée aux stagiaires et celle du contrat concordent.</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7 · Période de réalisation</w:t>
            </w:r>
          </w:p>
          <w:p>
            <w:pPr>
              <w:spacing w:after="40" w:before="0"/>
            </w:pPr>
            <w:r>
              <w:rPr>
                <w:rFonts w:ascii="Arial" w:cs="Arial" w:eastAsia="Arial" w:hAnsi="Arial"/>
                <w:b w:val="false"/>
                <w:bCs w:val="false"/>
                <w:color w:val="1A1816"/>
                <w:sz w:val="17"/>
                <w:szCs w:val="17"/>
              </w:rPr>
              <w:t xml:space="preserve">L’Action se déroule du [date] au [date], selon le calendrier de l’annexe A. Toute modification de date est soumise à l’accord écrit des parties.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Cinquième mention attendue : les dates, pas seulement la durée.</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 calendrier du contrat correspond aux émargements des sessions échantillonnées.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8 · Montant et modalités de paiement</w:t>
            </w:r>
          </w:p>
          <w:p>
            <w:pPr>
              <w:spacing w:after="40" w:before="0"/>
            </w:pPr>
            <w:r>
              <w:rPr>
                <w:rFonts w:ascii="Arial" w:cs="Arial" w:eastAsia="Arial" w:hAnsi="Arial"/>
                <w:b/>
                <w:bCs/>
                <w:color w:val="1A1816"/>
                <w:sz w:val="17"/>
                <w:szCs w:val="17"/>
              </w:rPr>
              <w:t xml:space="preserve">Prix : </w:t>
            </w:r>
            <w:r>
              <w:rPr>
                <w:rFonts w:ascii="Arial" w:cs="Arial" w:eastAsia="Arial" w:hAnsi="Arial"/>
                <w:b w:val="false"/>
                <w:bCs w:val="false"/>
                <w:color w:val="1A1816"/>
                <w:sz w:val="17"/>
                <w:szCs w:val="17"/>
              </w:rPr>
              <w:t xml:space="preserve">[Montant] HT [par session, par heure ou forfaitaire], soit [total] HT pour [nombre] sessions</w:t>
            </w:r>
          </w:p>
          <w:p>
            <w:pPr>
              <w:spacing w:after="40" w:before="0"/>
            </w:pPr>
            <w:r>
              <w:rPr>
                <w:rFonts w:ascii="Arial" w:cs="Arial" w:eastAsia="Arial" w:hAnsi="Arial"/>
                <w:b/>
                <w:bCs/>
                <w:color w:val="1A1816"/>
                <w:sz w:val="17"/>
                <w:szCs w:val="17"/>
              </w:rPr>
              <w:t xml:space="preserve">TVA et frais : </w:t>
            </w:r>
            <w:r>
              <w:rPr>
                <w:rFonts w:ascii="Arial" w:cs="Arial" w:eastAsia="Arial" w:hAnsi="Arial"/>
                <w:b w:val="false"/>
                <w:bCs w:val="false"/>
                <w:color w:val="1A1816"/>
                <w:sz w:val="17"/>
                <w:szCs w:val="17"/>
              </w:rPr>
              <w:t xml:space="preserve">[Régime de TVA applicable au Sous-traitant] ; frais de déplacement et d’hébergement : [inclus ou remboursés sur justificatifs]</w:t>
            </w:r>
          </w:p>
          <w:p>
            <w:pPr>
              <w:spacing w:after="40" w:before="0"/>
            </w:pPr>
            <w:r>
              <w:rPr>
                <w:rFonts w:ascii="Arial" w:cs="Arial" w:eastAsia="Arial" w:hAnsi="Arial"/>
                <w:b/>
                <w:bCs/>
                <w:color w:val="1A1816"/>
                <w:sz w:val="17"/>
                <w:szCs w:val="17"/>
              </w:rPr>
              <w:t xml:space="preserve">Facturation et paiement : </w:t>
            </w:r>
            <w:r>
              <w:rPr>
                <w:rFonts w:ascii="Arial" w:cs="Arial" w:eastAsia="Arial" w:hAnsi="Arial"/>
                <w:b w:val="false"/>
                <w:bCs w:val="false"/>
                <w:color w:val="1A1816"/>
                <w:sz w:val="17"/>
                <w:szCs w:val="17"/>
              </w:rPr>
              <w:t xml:space="preserve">Facture après chaque session et remise des pièces de l’annexe B. Paiement à [délai] jours à compter de la réception de la facture.</w:t>
            </w:r>
          </w:p>
          <w:p>
            <w:pPr>
              <w:spacing w:after="40" w:before="0"/>
            </w:pPr>
            <w:r>
              <w:rPr>
                <w:rFonts w:ascii="Arial" w:cs="Arial" w:eastAsia="Arial" w:hAnsi="Arial"/>
                <w:b w:val="false"/>
                <w:bCs w:val="false"/>
                <w:color w:val="1A1816"/>
                <w:sz w:val="17"/>
                <w:szCs w:val="17"/>
              </w:rPr>
              <w:t xml:space="preserve">Pénalités et indemnités de retard : conformes aux dispositions légales en vigueur.</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Sixième mention attendue : le montant de la prestation. Lier le paiement à la remise des pièces donne au donneur d’ordres un levier simple pour obtenir les preuves.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montant figure au contrat. Faites vérifier par votre expert le régime de TVA, les délais de paiement et les pénalités, qui relèvent de la loi.</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9 · Respect du référentiel national qualité et traçabilité</w:t>
            </w:r>
          </w:p>
          <w:p>
            <w:pPr>
              <w:spacing w:after="40" w:before="0"/>
            </w:pPr>
            <w:r>
              <w:rPr>
                <w:rFonts w:ascii="Arial" w:cs="Arial" w:eastAsia="Arial" w:hAnsi="Arial"/>
                <w:b w:val="false"/>
                <w:bCs w:val="false"/>
                <w:color w:val="1A1816"/>
                <w:sz w:val="17"/>
                <w:szCs w:val="17"/>
              </w:rPr>
              <w:t xml:space="preserve">Le Sous-traitant s’engage à respecter, pour les missions qui lui sont confiées, les exigences du référentiel national qualité qui les concernent, détaillées à l’annexe B : indicateurs concernés, pratiques attendues, preuves à transmettre et échéances.</w:t>
            </w:r>
          </w:p>
          <w:p>
            <w:pPr>
              <w:spacing w:after="40" w:before="0"/>
            </w:pPr>
            <w:r>
              <w:rPr>
                <w:rFonts w:ascii="Arial" w:cs="Arial" w:eastAsia="Arial" w:hAnsi="Arial"/>
                <w:b w:val="false"/>
                <w:bCs w:val="false"/>
                <w:color w:val="1A1816"/>
                <w:sz w:val="17"/>
                <w:szCs w:val="17"/>
              </w:rPr>
              <w:t xml:space="preserve">Il transmet au Donneur d’ordres les preuves listées à l’annexe B dans les délais indiqués et conserve celles qui lui incombent pendant [durée].</w:t>
            </w:r>
          </w:p>
          <w:p>
            <w:pPr>
              <w:spacing w:after="40" w:before="0"/>
            </w:pPr>
            <w:r>
              <w:rPr>
                <w:rFonts w:ascii="Arial" w:cs="Arial" w:eastAsia="Arial" w:hAnsi="Arial"/>
                <w:b w:val="false"/>
                <w:bCs w:val="false"/>
                <w:color w:val="1A1816"/>
                <w:sz w:val="17"/>
                <w:szCs w:val="17"/>
              </w:rPr>
              <w:t xml:space="preserve">Il accepte d’être audité par le Donneur d’ordres et de présenter ses preuves à l’organisme certificateur de celui-ci, ainsi qu’à tout financeur qui en fait la demande.</w:t>
            </w:r>
          </w:p>
          <w:p>
            <w:pPr>
              <w:spacing w:after="40" w:before="0"/>
            </w:pPr>
            <w:r>
              <w:rPr>
                <w:rFonts w:ascii="Arial" w:cs="Arial" w:eastAsia="Arial" w:hAnsi="Arial"/>
                <w:b w:val="false"/>
                <w:bCs w:val="false"/>
                <w:color w:val="1A1816"/>
                <w:sz w:val="17"/>
                <w:szCs w:val="17"/>
              </w:rPr>
              <w:t xml:space="preserve">Il informe sans délai le Donneur d’ordres de tout changement susceptible d’affecter la conformité : intervenant, moyens, perte d’une habilitation, incident grave.</w:t>
            </w:r>
          </w:p>
          <w:p>
            <w:pPr>
              <w:spacing w:after="40" w:before="0"/>
            </w:pPr>
            <w:r>
              <w:rPr>
                <w:rFonts w:ascii="Arial" w:cs="Arial" w:eastAsia="Arial" w:hAnsi="Arial"/>
                <w:b/>
                <w:bCs/>
                <w:color w:val="1A1816"/>
                <w:sz w:val="17"/>
                <w:szCs w:val="17"/>
              </w:rPr>
              <w:t xml:space="preserve">Vérification par le Donneur d’ordres : </w:t>
            </w:r>
            <w:r>
              <w:rPr>
                <w:rFonts w:ascii="Arial" w:cs="Arial" w:eastAsia="Arial" w:hAnsi="Arial"/>
                <w:b w:val="false"/>
                <w:bCs w:val="false"/>
                <w:color w:val="1A1816"/>
                <w:sz w:val="17"/>
                <w:szCs w:val="17"/>
              </w:rPr>
              <w:t xml:space="preserve">[Sélection préalable, revue des pièces après chaque session, évaluation de fin de mission]</w:t>
            </w:r>
          </w:p>
          <w:p>
            <w:pPr>
              <w:spacing w:after="40" w:before="0"/>
            </w:pPr>
            <w:r>
              <w:rPr>
                <w:rFonts w:ascii="Arial" w:cs="Arial" w:eastAsia="Arial" w:hAnsi="Arial"/>
                <w:b w:val="false"/>
                <w:bCs w:val="false"/>
                <w:color w:val="1A1816"/>
                <w:sz w:val="17"/>
                <w:szCs w:val="17"/>
              </w:rPr>
              <w:t xml:space="preserve">Lorsque l’Action est réalisée dans le cadre d’une habilitation délivrée par un certificateur, les parties respectent les conditions de l’habilitation : [convention tripartite ou avenant, information du certificateur, vérification des compétences du Sous-traitant].</w:t>
            </w:r>
          </w:p>
          <w:p>
            <w:pPr>
              <w:spacing w:after="40" w:before="0"/>
            </w:pPr>
            <w:r>
              <w:rPr>
                <w:rFonts w:ascii="Arial" w:cs="Arial" w:eastAsia="Arial" w:hAnsi="Arial"/>
                <w:b w:val="false"/>
                <w:bCs w:val="false"/>
                <w:color w:val="1A1816"/>
                <w:sz w:val="17"/>
                <w:szCs w:val="17"/>
              </w:rPr>
              <w:t xml:space="preserve">Le Sous-traitant n’est pas tenu d’être certifié Qualiopi, sauf cas prévus par la loi. Il ne se prévaut pas de la certification du Donneur d’ordres.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C’est la clause que la V10 met en avant : la conformité au référentiel et sa traçabilité dans le contrat.</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Les contrats de sous-traitance, le processus de sélection et de pilotage des sous-traitants, les justificatifs présentés par les sous-traitants. Pour une habilitation, des éléments attestant que le sous-traitant en respecte les conditions. Indicateur 27 : non-respect, même partiel, égal non-conformité majeure.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10 · Accueil des personnes en situation de handicap</w:t>
            </w:r>
          </w:p>
          <w:p>
            <w:pPr>
              <w:spacing w:after="40" w:before="0"/>
            </w:pPr>
            <w:r>
              <w:rPr>
                <w:rFonts w:ascii="Arial" w:cs="Arial" w:eastAsia="Arial" w:hAnsi="Arial"/>
                <w:b w:val="false"/>
                <w:bCs w:val="false"/>
                <w:color w:val="1A1816"/>
                <w:sz w:val="17"/>
                <w:szCs w:val="17"/>
              </w:rPr>
              <w:t xml:space="preserve">Le Donneur d’ordres désigne un référent handicap : [nom, contact] et communique au Sous-traitant la liste de ses partenaires mobilisables. Le Sous-traitant signale au référent, dès qu’il en a connaissance, tout besoin d’adaptation exprimé, applique les aménagements décidés et en rend compte. Les informations relatives à la santé restent confidentielles.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Le sous-traitant ne bâtit pas son propre réseau : le donneur d’ordres lui transmet le sien.</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En sous-traitance, il suffit que le prestataire démontre un réseau de partenaires ou que son donneur d’ordres lui ait communiqué la liste de ses partenaires (indicateur 26).</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11 · Prévention des violences, du harcèlement et des discriminations</w:t>
            </w:r>
          </w:p>
          <w:p>
            <w:pPr>
              <w:spacing w:after="40" w:before="0"/>
            </w:pPr>
            <w:r>
              <w:rPr>
                <w:rFonts w:ascii="Arial" w:cs="Arial" w:eastAsia="Arial" w:hAnsi="Arial"/>
                <w:b w:val="false"/>
                <w:bCs w:val="false"/>
                <w:color w:val="1A1816"/>
                <w:sz w:val="17"/>
                <w:szCs w:val="17"/>
              </w:rPr>
              <w:t xml:space="preserve">Le Sous-traitant et ses intervenants respectent la procédure de prévention et de traitement des violences, dont les violences sexistes et sexuelles, du harcèlement et des discriminations du Donneur d’ordres, remise avec les pièces de l’annexe C, pour toutes les actions confiées, quelle que soit leur durée. Ils relaient sans délai au référent [nom, contact] tout signalement ou toute situation dont ils ont connaissance, sans mener d’enquête, et respectent la confidentialité.</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Nouveauté V10 : l’indicateur 12 vise la prévention et le traitement de ces situations pour les formations de plus de 2 jours. La procédure doit être connue de l’intervenant, qui est celui que les stagiaires voient.</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Une procédure portée à la connaissance des apprenants et du personnel, un référent désigné, la traçabilité des signalements. Voir le modèle de procédure du dossier.</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12 · Appréciations, réclamations et aléas</w:t>
            </w:r>
          </w:p>
          <w:p>
            <w:pPr>
              <w:spacing w:after="40" w:before="0"/>
            </w:pPr>
            <w:r>
              <w:rPr>
                <w:rFonts w:ascii="Arial" w:cs="Arial" w:eastAsia="Arial" w:hAnsi="Arial"/>
                <w:b w:val="false"/>
                <w:bCs w:val="false"/>
                <w:color w:val="1A1816"/>
                <w:sz w:val="17"/>
                <w:szCs w:val="17"/>
              </w:rPr>
              <w:t xml:space="preserve">Le Sous-traitant recueille l’appréciation des stagiaires à la fin de chaque session (questionnaire fourni par [ ]) et celle du Donneur d’ordres à la fin de la mission. Il transmet les résultats sous [délai]. Toute réclamation, difficulté ou aléa (absence, panne, incident, conflit) est signalé au Donneur d’ordres sous [délai], qui la traite ; le Sous-traitant apporte les éléments nécessaires. Les parties examinent ensemble les enseignements après chaque session.</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Chaque partie a un rôle : le sous-traitant recueille et alerte, le donneur d’ordres traite et capitalise.</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Pour l’indicateur 30 en sous-traitance : l’appréciation des bénéficiaires et du donneur d’ordres. Pour l’indicateur 31 : la trace d’un aléa et de la solution apportée.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13 · Confidentialité et données personnelles</w:t>
            </w:r>
          </w:p>
          <w:p>
            <w:pPr>
              <w:spacing w:after="40" w:before="0"/>
            </w:pPr>
            <w:r>
              <w:rPr>
                <w:rFonts w:ascii="Arial" w:cs="Arial" w:eastAsia="Arial" w:hAnsi="Arial"/>
                <w:b w:val="false"/>
                <w:bCs w:val="false"/>
                <w:color w:val="1A1816"/>
                <w:sz w:val="17"/>
                <w:szCs w:val="17"/>
              </w:rPr>
              <w:t xml:space="preserve">Chaque partie garde confidentiels les informations, documents et données de l’autre, pendant le contrat et [durée] après son terme.</w:t>
            </w:r>
          </w:p>
          <w:p>
            <w:pPr>
              <w:spacing w:after="40" w:before="0"/>
            </w:pPr>
            <w:r>
              <w:rPr>
                <w:rFonts w:ascii="Arial" w:cs="Arial" w:eastAsia="Arial" w:hAnsi="Arial"/>
                <w:b w:val="false"/>
                <w:bCs w:val="false"/>
                <w:color w:val="1A1816"/>
                <w:sz w:val="17"/>
                <w:szCs w:val="17"/>
              </w:rPr>
              <w:t xml:space="preserve">Les données personnelles des stagiaires sont traitées conformément à la réglementation applicable. Qualification des parties : [responsable de traitement et sous-traitant, ou responsables de traitement distincts : à qualifier avec votre conseil ou votre délégué à la protection des données]. Le Sous-traitant n’utilise ces données que pour l’Action, les protège, ne les transmet pas à des tiers, les restitue ou les détruit à la fin de la mission et signale sans délai toute violation de données.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Éviter que des données de stagiaires restent chez un intervenant. La qualification juridique des rôles est délicate : à faire valider par un juriste ou un délégué à la protection des données.</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les stagiaires et le donneur d’ordres peuvent compter sur la confidentialité des échanges, notamment sur le handicap et les signalements.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14 · Propriété intellectuelle et communication</w:t>
            </w:r>
          </w:p>
          <w:p>
            <w:pPr>
              <w:spacing w:after="40" w:before="0"/>
            </w:pPr>
            <w:r>
              <w:rPr>
                <w:rFonts w:ascii="Arial" w:cs="Arial" w:eastAsia="Arial" w:hAnsi="Arial"/>
                <w:b w:val="false"/>
                <w:bCs w:val="false"/>
                <w:color w:val="1A1816"/>
                <w:sz w:val="17"/>
                <w:szCs w:val="17"/>
              </w:rPr>
              <w:t xml:space="preserve">Les supports préexistants de chaque partie restent sa propriété.</w:t>
            </w:r>
          </w:p>
          <w:p>
            <w:pPr>
              <w:spacing w:after="40" w:before="0"/>
            </w:pPr>
            <w:r>
              <w:rPr>
                <w:rFonts w:ascii="Arial" w:cs="Arial" w:eastAsia="Arial" w:hAnsi="Arial"/>
                <w:b w:val="false"/>
                <w:bCs w:val="false"/>
                <w:color w:val="1A1816"/>
                <w:sz w:val="17"/>
                <w:szCs w:val="17"/>
              </w:rPr>
              <w:t xml:space="preserve">Supports créés spécifiquement pour l’Action : ☐ propriété du Donneur d’ordres, avec cession des droits (étendue, durée, territoire : […])   ☐ propriété du Sous-traitant, avec licence d’utilisation au Donneur d’ordres (étendue, durée : […]).</w:t>
            </w:r>
          </w:p>
          <w:p>
            <w:pPr>
              <w:spacing w:after="40" w:before="0"/>
            </w:pPr>
            <w:r>
              <w:rPr>
                <w:rFonts w:ascii="Arial" w:cs="Arial" w:eastAsia="Arial" w:hAnsi="Arial"/>
                <w:b w:val="false"/>
                <w:bCs w:val="false"/>
                <w:color w:val="1A1816"/>
                <w:sz w:val="17"/>
                <w:szCs w:val="17"/>
              </w:rPr>
              <w:t xml:space="preserve">Le Sous-traitant n’utilise ni la marque, ni le logo, ni la certification du Donneur d’ordres sans son accord écrit et ne présente pas l’Action comme la sienne auprès des bénéficiaires. L’information du public sur l’Action relève du Donneur d’ordres.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Prévenir les litiges sur les supports, et éviter qu’un sous-traitant se prévale d’une certification qui n’est pas la sienne.</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L’information du public (indicateur 1) ne comporte aucune mention de nature à induire en erreur, par exemple sur la certification de celui qui forme.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15 · Assurance et responsabilité</w:t>
            </w:r>
          </w:p>
          <w:p>
            <w:pPr>
              <w:spacing w:after="40" w:before="0"/>
            </w:pPr>
            <w:r>
              <w:rPr>
                <w:rFonts w:ascii="Arial" w:cs="Arial" w:eastAsia="Arial" w:hAnsi="Arial"/>
                <w:b w:val="false"/>
                <w:bCs w:val="false"/>
                <w:color w:val="1A1816"/>
                <w:sz w:val="17"/>
                <w:szCs w:val="17"/>
              </w:rPr>
              <w:t xml:space="preserve">Chaque partie déclare être titulaire d’une assurance de responsabilité civile professionnelle couvrant les conséquences de son activité et en fournit l’attestation en cours de validité avant le début de l’Action (annexe C). Le Sous-traitant répond des dommages résultant de l’exécution de ses missions, dans la limite de [plafond]. Le Donneur d’ordres reste responsable de l’Action envers les bénéficiaires et les financeurs.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Demander l’attestation avant la première session. Les plafonds et exclusions sont à négocier et à faire valider.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Des justificatifs présentés par le sous-traitant, attestation d’assurance comprise, font partie des preuves de pilotage possibles.</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16 · Statut du Sous-traitant et sous-traitance ultérieure</w:t>
            </w:r>
          </w:p>
          <w:p>
            <w:pPr>
              <w:spacing w:after="40" w:before="0"/>
            </w:pPr>
            <w:r>
              <w:rPr>
                <w:rFonts w:ascii="Arial" w:cs="Arial" w:eastAsia="Arial" w:hAnsi="Arial"/>
                <w:b w:val="false"/>
                <w:bCs w:val="false"/>
                <w:color w:val="1A1816"/>
                <w:sz w:val="17"/>
                <w:szCs w:val="17"/>
              </w:rPr>
              <w:t xml:space="preserve">Le Sous-traitant exerce son activité en toute indépendance et organise librement ses moyens dans le respect du cahier des charges de l’Action ; il n’est lié au Donneur d’ordres par aucun lien de subordination. Il ne confie pas tout ou partie de ses missions à un tiers sans l’accord écrit préalable du Donneur d’ordres. Il fournit avant le début de l’Action les pièces de régularité de son activité que la réglementation impose au Donneur d’ordres de recueillir (à faire confirmer par votre juriste).</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L’indépendance du sous-traitant évite le risque de requalification d’une relation de travail ; la sous-traitance en chaîne doit rester maîtrisée. Les pièces de régularité dépendent de la réglementation : à faire confirmer.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donneur d’ordres connaît tous ceux qui interviennent sur l’action, y compris en second rang.</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17 · Résiliation</w:t>
            </w:r>
          </w:p>
          <w:p>
            <w:pPr>
              <w:spacing w:after="40" w:before="0"/>
            </w:pPr>
            <w:r>
              <w:rPr>
                <w:rFonts w:ascii="Arial" w:cs="Arial" w:eastAsia="Arial" w:hAnsi="Arial"/>
                <w:b w:val="false"/>
                <w:bCs w:val="false"/>
                <w:color w:val="1A1816"/>
                <w:sz w:val="17"/>
                <w:szCs w:val="17"/>
              </w:rPr>
              <w:t xml:space="preserve">En cas de manquement grave d’une partie à ses obligations, notamment : non-respect du référentiel, non-transmission des pièces de l’annexe B après mise en demeure restée sans effet pendant [délai], indisponibilité répétée de l’intervenant, comportement portant atteinte aux personnes, perte d’une habilitation nécessaire, l’autre partie peut résilier le contrat [de plein droit après mise en demeure de [délai] jours restée sans effet ; immédiatement en cas d’atteinte aux personnes]. Les sessions réalisées sont payées au prorata. Le Sous-traitant remet les documents des sessions réalisées. Annulation d’une session par le Donneur d’ordres : [conditions].</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Prévoir la sortie avant d’en avoir besoin : si les preuves ne sont pas transmises, le donneur d’ordres porte le risque devant son certificateur.</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Que le donneur d’ordres a des moyens d’agir quand la conformité n’est pas assurée.</w:t>
            </w:r>
          </w:p>
        </w:tc>
      </w:tr>
      <w:tr>
        <w:trPr>
          <w:cantSplit w:val="false"/>
          <w:tblHeader w:val="false"/>
        </w:trPr>
        <w:tc>
          <w:tcPr>
            <w:tcW w:type="dxa" w:w="6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bCs/>
                <w:color w:val="B83E24"/>
                <w:sz w:val="19"/>
                <w:szCs w:val="19"/>
              </w:rPr>
              <w:t xml:space="preserve">Article 18 · Droit applicable et litiges</w:t>
            </w:r>
          </w:p>
          <w:p>
            <w:pPr>
              <w:spacing w:after="40" w:before="0"/>
            </w:pPr>
            <w:r>
              <w:rPr>
                <w:rFonts w:ascii="Arial" w:cs="Arial" w:eastAsia="Arial" w:hAnsi="Arial"/>
                <w:b w:val="false"/>
                <w:bCs w:val="false"/>
                <w:color w:val="1A1816"/>
                <w:sz w:val="17"/>
                <w:szCs w:val="17"/>
              </w:rPr>
              <w:t xml:space="preserve">Le contrat est soumis au droit français. Les parties recherchent une solution amiable. À défaut : [médiation, juridiction compétente].</w:t>
            </w:r>
          </w:p>
          <w:p>
            <w:pPr>
              <w:spacing w:after="40" w:before="0"/>
            </w:pPr>
            <w:r>
              <w:rPr>
                <w:rFonts w:ascii="Arial" w:cs="Arial" w:eastAsia="Arial" w:hAnsi="Arial"/>
                <w:b w:val="false"/>
                <w:bCs w:val="false"/>
                <w:color w:val="1A1816"/>
                <w:sz w:val="17"/>
                <w:szCs w:val="17"/>
              </w:rPr>
              <w:t xml:space="preserve">Fait à [lieu], le [date], en deux exemplaires originaux.</w:t>
            </w:r>
          </w:p>
        </w:tc>
        <w:tc>
          <w:tcPr>
            <w:tcW w:type="dxa" w:w="3606"/>
            <w:tcBorders>
              <w:top w:val="single" w:color="E6E0D6" w:sz="4"/>
              <w:left w:val="single" w:color="E6E0D6" w:sz="4"/>
              <w:bottom w:val="single" w:color="E6E0D6" w:sz="4"/>
              <w:right w:val="single" w:color="E6E0D6" w:sz="4"/>
            </w:tcBorders>
            <w:shd w:fill="DCF1E9" w:color="auto" w:val="clear"/>
            <w:tcMar>
              <w:top w:type="dxa" w:w="60"/>
              <w:left w:type="dxa" w:w="100"/>
              <w:bottom w:type="dxa" w:w="60"/>
              <w:right w:type="dxa" w:w="100"/>
            </w:tcMar>
            <w:vAlign w:val="top"/>
          </w:tcPr>
          <w:p>
            <w:pPr>
              <w:spacing w:after="40" w:before="0"/>
            </w:pPr>
            <w:r>
              <w:rPr>
                <w:rFonts w:ascii="Arial" w:cs="Arial" w:eastAsia="Arial" w:hAnsi="Arial"/>
                <w:b/>
                <w:bCs/>
                <w:color w:val="137252"/>
                <w:sz w:val="16"/>
                <w:szCs w:val="16"/>
              </w:rPr>
              <w:t xml:space="preserve">Pourquoi. </w:t>
            </w:r>
            <w:r>
              <w:rPr>
                <w:rFonts w:ascii="Arial" w:cs="Arial" w:eastAsia="Arial" w:hAnsi="Arial"/>
                <w:b w:val="false"/>
                <w:bCs w:val="false"/>
                <w:color w:val="137252"/>
                <w:sz w:val="16"/>
                <w:szCs w:val="16"/>
              </w:rPr>
              <w:t xml:space="preserve">Dater et signer avant la première session : un contrat signé après coup ne prouve pas que les missions avaient été formalisées à l’avance (repère de terrain).</w:t>
            </w:r>
          </w:p>
          <w:p>
            <w:pPr>
              <w:spacing w:after="40" w:before="0"/>
            </w:pPr>
            <w:r>
              <w:rPr>
                <w:rFonts w:ascii="Arial" w:cs="Arial" w:eastAsia="Arial" w:hAnsi="Arial"/>
                <w:b/>
                <w:bCs/>
                <w:color w:val="137252"/>
                <w:sz w:val="16"/>
                <w:szCs w:val="16"/>
              </w:rPr>
              <w:t xml:space="preserve">Ce que vérifie l’auditeur. </w:t>
            </w:r>
            <w:r>
              <w:rPr>
                <w:rFonts w:ascii="Arial" w:cs="Arial" w:eastAsia="Arial" w:hAnsi="Arial"/>
                <w:b w:val="false"/>
                <w:bCs w:val="false"/>
                <w:color w:val="137252"/>
                <w:sz w:val="16"/>
                <w:szCs w:val="16"/>
              </w:rPr>
              <w:t xml:space="preserve">La date de signature précède le début de l’action.</w:t>
            </w:r>
          </w:p>
        </w:tc>
      </w:tr>
    </w:tbl>
    <w:p>
      <w:pPr>
        <w:spacing w:after="60" w:before="0"/>
      </w:pP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4953"/>
        <w:gridCol w:w="4953"/>
      </w:tblGrid>
      <w:tr>
        <w:trPr>
          <w:cantSplit/>
          <w:tblHeader/>
        </w:trPr>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le Donneur d’ordres</w:t>
            </w:r>
          </w:p>
        </w:tc>
        <w:tc>
          <w:tcPr>
            <w:tcW w:type="dxa" w:w="4953"/>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Pour le Sous-traitant</w:t>
            </w:r>
          </w:p>
        </w:tc>
      </w:tr>
      <w:tr>
        <w:trPr>
          <w:cantSplit/>
          <w:tblHeader w:val="false"/>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[Nom, qualité]</w:t>
            </w:r>
          </w:p>
          <w:p>
            <w:pPr>
              <w:spacing w:after="40" w:before="0"/>
            </w:pPr>
            <w:r>
              <w:rPr>
                <w:rFonts w:ascii="Arial" w:cs="Arial" w:eastAsia="Arial" w:hAnsi="Arial"/>
                <w:b w:val="false"/>
                <w:bCs w:val="false"/>
                <w:color w:val="1A1816"/>
                <w:sz w:val="16"/>
                <w:szCs w:val="16"/>
              </w:rPr>
              <w:t xml:space="preserve">Signature précédée de « Lu et approuvé » :</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[Nom, qualité]</w:t>
            </w:r>
          </w:p>
          <w:p>
            <w:pPr>
              <w:spacing w:after="40" w:before="0"/>
            </w:pPr>
            <w:r>
              <w:rPr>
                <w:rFonts w:ascii="Arial" w:cs="Arial" w:eastAsia="Arial" w:hAnsi="Arial"/>
                <w:b w:val="false"/>
                <w:bCs w:val="false"/>
                <w:color w:val="1A1816"/>
                <w:sz w:val="16"/>
                <w:szCs w:val="16"/>
              </w:rPr>
              <w:t xml:space="preserve">Signature précédée de « Lu et approuvé » :</w:t>
            </w:r>
          </w:p>
        </w:tc>
      </w:tr>
      <w:tr>
        <w:trPr>
          <w:cantSplit/>
          <w:tblHeader w:val="false"/>
          <w:trHeight w:val="900"/>
        </w:trPr>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c>
          <w:tcPr>
            <w:tcW w:type="dxa" w:w="4953"/>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 </w:t>
            </w:r>
          </w:p>
        </w:tc>
      </w:tr>
    </w:tbl>
    <w:p>
      <w:pPr>
        <w:keepNext/>
        <w:pageBreakBefore/>
        <w:pBdr>
          <w:bottom w:val="single" w:color="1D9E75" w:sz="6" w:space="2"/>
        </w:pBdr>
        <w:spacing w:after="100" w:before="0"/>
      </w:pPr>
      <w:r>
        <w:rPr>
          <w:rFonts w:ascii="Arial" w:cs="Arial" w:eastAsia="Arial" w:hAnsi="Arial"/>
          <w:b/>
          <w:bCs/>
          <w:color w:val="137252"/>
          <w:sz w:val="22"/>
          <w:szCs w:val="22"/>
        </w:rPr>
        <w:t xml:space="preserve">Annexe A · Fiche de l’Action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500"/>
        <w:gridCol w:w="7406"/>
      </w:tblGrid>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Intitulé</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[Intitulé]</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Public et prérequis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[Public, prérequis]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Objectifs opérationnels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[Objectifs]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Programme et durées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[Modules, durées]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Modalités pédagogiques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[Méthodes, outils]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Évaluation des acquis</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[Méthode, critères]</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Calendrier</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[Dates, horaires, lieu de chaque session]</w:t>
            </w:r>
          </w:p>
        </w:tc>
      </w:tr>
      <w:tr>
        <w:trPr>
          <w:cantSplit/>
          <w:tblHeader w:val="false"/>
        </w:trPr>
        <w:tc>
          <w:tcPr>
            <w:tcW w:type="dxa" w:w="2500"/>
            <w:tcBorders>
              <w:top w:val="single" w:color="E6E0D6" w:sz="4"/>
              <w:left w:val="single" w:color="E6E0D6" w:sz="4"/>
              <w:bottom w:val="single" w:color="E6E0D6" w:sz="4"/>
              <w:right w:val="single" w:color="E6E0D6" w:sz="4"/>
            </w:tcBorders>
            <w:shd w:fill="FBFAF7" w:color="auto" w:val="clear"/>
            <w:tcMar>
              <w:top w:type="dxa" w:w="60"/>
              <w:left w:type="dxa" w:w="100"/>
              <w:bottom w:type="dxa" w:w="60"/>
              <w:right w:type="dxa" w:w="100"/>
            </w:tcMar>
            <w:vAlign w:val="top"/>
          </w:tcPr>
          <w:p>
            <w:pPr>
              <w:spacing w:after="40" w:before="0"/>
            </w:pPr>
            <w:r>
              <w:rPr>
                <w:rFonts w:ascii="Arial" w:cs="Arial" w:eastAsia="Arial" w:hAnsi="Arial"/>
                <w:b/>
                <w:bCs/>
                <w:color w:val="1A1816"/>
                <w:sz w:val="17"/>
                <w:szCs w:val="17"/>
              </w:rPr>
              <w:t xml:space="preserve">Effectif</w:t>
            </w:r>
          </w:p>
        </w:tc>
        <w:tc>
          <w:tcPr>
            <w:tcW w:type="dxa" w:w="7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7"/>
                <w:szCs w:val="17"/>
              </w:rPr>
              <w:t xml:space="preserve">[Effectif maximal]</w:t>
            </w:r>
          </w:p>
        </w:tc>
      </w:tr>
    </w:tbl>
    <w:p>
      <w:pPr>
        <w:keepNext/>
        <w:pBdr>
          <w:bottom w:val="single" w:color="1D9E75" w:sz="6" w:space="2"/>
        </w:pBdr>
        <w:spacing w:after="100" w:before="200"/>
      </w:pPr>
      <w:r>
        <w:rPr>
          <w:rFonts w:ascii="Arial" w:cs="Arial" w:eastAsia="Arial" w:hAnsi="Arial"/>
          <w:b/>
          <w:bCs/>
          <w:color w:val="137252"/>
          <w:sz w:val="22"/>
          <w:szCs w:val="22"/>
        </w:rPr>
        <w:t xml:space="preserve">Annexe B · Tableau de traçabilité de la conformité</w:t>
      </w:r>
    </w:p>
    <w:p>
      <w:pPr>
        <w:spacing w:after="60" w:before="0"/>
      </w:pPr>
      <w:r>
        <w:rPr>
          <w:rFonts w:ascii="Arial" w:cs="Arial" w:eastAsia="Arial" w:hAnsi="Arial"/>
          <w:color w:val="1A1816"/>
          <w:sz w:val="19"/>
          <w:szCs w:val="19"/>
        </w:rPr>
        <w:t xml:space="preserve">À adapter aux missions confiées (article 2) : retenez les lignes qui concernent le Sous-traitant et supprimez les autres.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800"/>
        <w:gridCol w:w="3300"/>
        <w:gridCol w:w="3406"/>
        <w:gridCol w:w="2400"/>
      </w:tblGrid>
      <w:tr>
        <w:trPr>
          <w:cantSplit/>
          <w:tblHeader/>
        </w:trPr>
        <w:tc>
          <w:tcPr>
            <w:tcW w:type="dxa" w:w="8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Ind.</w:t>
            </w:r>
          </w:p>
        </w:tc>
        <w:tc>
          <w:tcPr>
            <w:tcW w:type="dxa" w:w="33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Ce que fait le Sous-traitant</w:t>
            </w:r>
          </w:p>
        </w:tc>
        <w:tc>
          <w:tcPr>
            <w:tcW w:type="dxa" w:w="34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Preuve à transmettre</w:t>
            </w:r>
          </w:p>
        </w:tc>
        <w:tc>
          <w:tcPr>
            <w:tcW w:type="dxa" w:w="24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Échéance</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9</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Informer les stagiaires des conditions de déroulement (rappel du règlement intérieur et du livret remis par le Donneur d’ordres)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Émargement du premier jour portant mention de l’information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10</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Mettre en œuvre et adapter la formation et le suivi</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Feuilles d’émargement signées ; notes d’adaptation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[délai] après la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Évaluer l’atteinte des objectifs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Grilles d’évaluation complétées et synthèse</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[délai] après la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12</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Favoriser l’engagement, prévenir les ruptures, relayer tout signalement de violence, de harcèlement ou de discrimination</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Relances des absents ; attestation de lecture de la procédure ; signalements relayés, le cas échéant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session, puis à chaque événement</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17</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Moyens humains et techniques adaptés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Liste des moyens utilisés ; remarques sur les moyens fournis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et 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19</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Ressources pédagogiques et, pour une partie à distance, suivi effectif</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Supports remis ; statistiques de connexion ou d’avancement ; relances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Compétences de l’intervenant</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CV, diplômes, preuve de formation continue</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session, puis chaque année</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26</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Accueil des personnes en situation de handicap</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Fiche de suivi d’aménagement, le cas échéant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À chaque besoin exprimé</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30</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Appréciations des stagiaires et du Donneur d’ordres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Questionnaires à chaud, synthèse, fiche d’appréciation du Donneur d’ordres</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 [délai] après chaque session</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31</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Réclamations, difficultés, aléas</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Signalement au Donneur d’ordres sous 24 heures ; trace de la solution</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Au fil de l’eau</w:t>
            </w:r>
          </w:p>
        </w:tc>
      </w:tr>
      <w:tr>
        <w:trPr>
          <w:cantSplit/>
          <w:tblHeader w:val="false"/>
        </w:trPr>
        <w:tc>
          <w:tcPr>
            <w:tcW w:type="dxa" w:w="8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4 à 8</w:t>
            </w:r>
          </w:p>
        </w:tc>
        <w:tc>
          <w:tcPr>
            <w:tcW w:type="dxa" w:w="33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Si la mission inclut la conception : analyse du besoin, objectifs, contenus, positionnement</w:t>
            </w:r>
          </w:p>
        </w:tc>
        <w:tc>
          <w:tcPr>
            <w:tcW w:type="dxa" w:w="34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Documents de conception et de positionnement</w:t>
            </w:r>
          </w:p>
        </w:tc>
        <w:tc>
          <w:tcPr>
            <w:tcW w:type="dxa" w:w="24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Avant la première session</w:t>
            </w:r>
          </w:p>
        </w:tc>
      </w:tr>
    </w:tbl>
    <w:p>
      <w:pPr>
        <w:spacing w:after="60" w:before="100"/>
      </w:pPr>
      <w:r>
        <w:rPr>
          <w:rFonts w:ascii="Arial" w:cs="Arial" w:eastAsia="Arial" w:hAnsi="Arial"/>
          <w:i/>
          <w:iCs/>
          <w:color w:val="5F5850"/>
          <w:sz w:val="16"/>
          <w:szCs w:val="16"/>
        </w:rPr>
        <w:t xml:space="preserve">Les indicateurs 1, 2 et 3 ne sont pas applicables au Sous-traitant : le Donneur d’ordres informe le public et publie les indicateurs de résultats (document de travail du guide V10). Les échéances sont des choix des parties, pas des exigences du référentiel.</w:t>
      </w:r>
    </w:p>
    <w:p>
      <w:pPr>
        <w:keepNext/>
        <w:pageBreakBefore/>
        <w:pBdr>
          <w:bottom w:val="single" w:color="1D9E75" w:sz="6" w:space="2"/>
        </w:pBdr>
        <w:spacing w:after="100" w:before="0"/>
      </w:pPr>
      <w:r>
        <w:rPr>
          <w:rFonts w:ascii="Arial" w:cs="Arial" w:eastAsia="Arial" w:hAnsi="Arial"/>
          <w:b/>
          <w:bCs/>
          <w:color w:val="137252"/>
          <w:sz w:val="22"/>
          <w:szCs w:val="22"/>
        </w:rPr>
        <w:t xml:space="preserve">Annexe C · Pièces à fournir avant la première session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5000"/>
        <w:gridCol w:w="2200"/>
        <w:gridCol w:w="1500"/>
        <w:gridCol w:w="1206"/>
      </w:tblGrid>
      <w:tr>
        <w:trPr>
          <w:cantSplit/>
          <w:tblHeader/>
        </w:trPr>
        <w:tc>
          <w:tcPr>
            <w:tcW w:type="dxa" w:w="50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Pièce</w:t>
            </w:r>
          </w:p>
        </w:tc>
        <w:tc>
          <w:tcPr>
            <w:tcW w:type="dxa" w:w="22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Fournie par</w:t>
            </w:r>
          </w:p>
        </w:tc>
        <w:tc>
          <w:tcPr>
            <w:tcW w:type="dxa" w:w="1500"/>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Reçue le</w:t>
            </w:r>
          </w:p>
        </w:tc>
        <w:tc>
          <w:tcPr>
            <w:tcW w:type="dxa" w:w="1206"/>
            <w:tcBorders>
              <w:top w:val="single" w:color="E6E0D6" w:sz="4"/>
              <w:left w:val="single" w:color="E6E0D6" w:sz="4"/>
              <w:bottom w:val="single" w:color="E6E0D6" w:sz="4"/>
              <w:right w:val="single" w:color="E6E0D6" w:sz="4"/>
            </w:tcBorders>
            <w:shd w:fill="E8593C" w:color="auto" w:val="clear"/>
            <w:tcMar>
              <w:top w:type="dxa" w:w="60"/>
              <w:left w:type="dxa" w:w="100"/>
              <w:bottom w:type="dxa" w:w="60"/>
              <w:right w:type="dxa" w:w="100"/>
            </w:tcMar>
            <w:vAlign w:val="center"/>
          </w:tcPr>
          <w:p>
            <w:pPr>
              <w:spacing w:after="40" w:before="0"/>
              <w:jc w:val="center"/>
            </w:pPr>
            <w:r>
              <w:rPr>
                <w:rFonts w:ascii="Arial" w:cs="Arial" w:eastAsia="Arial" w:hAnsi="Arial"/>
                <w:b/>
                <w:bCs/>
                <w:color w:val="FFFFFF"/>
                <w:sz w:val="17"/>
                <w:szCs w:val="17"/>
              </w:rPr>
              <w:t xml:space="preserve">Reçue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Attestation d’assurance de responsabilité civile professionnelle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 et 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Extrait d’immatriculation ou équivalent, déclaration d’activité s’il y a lieu</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Pièces de régularité exigées par la réglementation (à faire confirmer)</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CV, diplômes et preuves de compétences de l’intervenant</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Sous-traitant</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Procédure de prévention et de traitement des violences, du harcèlement et des discriminations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Règlement intérieur, livret d’accueil, convocation type</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Liste des partenaires mobilisables pour le handicap et nom du référent</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r>
        <w:trPr>
          <w:cantSplit/>
          <w:tblHeader w:val="false"/>
        </w:trPr>
        <w:tc>
          <w:tcPr>
            <w:tcW w:type="dxa" w:w="50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Questionnaires d’appréciation et grille d’évaluation des acquis</w:t>
            </w:r>
          </w:p>
        </w:tc>
        <w:tc>
          <w:tcPr>
            <w:tcW w:type="dxa" w:w="22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pPr>
            <w:r>
              <w:rPr>
                <w:rFonts w:ascii="Arial" w:cs="Arial" w:eastAsia="Arial" w:hAnsi="Arial"/>
                <w:b w:val="false"/>
                <w:bCs w:val="false"/>
                <w:color w:val="1A1816"/>
                <w:sz w:val="16"/>
                <w:szCs w:val="16"/>
              </w:rPr>
              <w:t xml:space="preserve">Donneur d’ordres</w:t>
            </w:r>
          </w:p>
        </w:tc>
        <w:tc>
          <w:tcPr>
            <w:tcW w:type="dxa" w:w="1500"/>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6"/>
                <w:szCs w:val="16"/>
              </w:rPr>
              <w:t xml:space="preserve"> </w:t>
            </w:r>
          </w:p>
        </w:tc>
        <w:tc>
          <w:tcPr>
            <w:tcW w:type="dxa" w:w="1206"/>
            <w:tcBorders>
              <w:top w:val="single" w:color="E6E0D6" w:sz="4"/>
              <w:left w:val="single" w:color="E6E0D6" w:sz="4"/>
              <w:bottom w:val="single" w:color="E6E0D6" w:sz="4"/>
              <w:right w:val="single" w:color="E6E0D6" w:sz="4"/>
            </w:tcBorders>
            <w:shd w:fill="FFFFFF" w:color="auto" w:val="clear"/>
            <w:tcMar>
              <w:top w:type="dxa" w:w="60"/>
              <w:left w:type="dxa" w:w="100"/>
              <w:bottom w:type="dxa" w:w="60"/>
              <w:right w:type="dxa" w:w="100"/>
            </w:tcMar>
            <w:vAlign w:val="top"/>
          </w:tcPr>
          <w:p>
            <w:pPr>
              <w:spacing w:after="40" w:before="0"/>
              <w:jc w:val="center"/>
            </w:pPr>
            <w:r>
              <w:rPr>
                <w:rFonts w:ascii="Arial" w:cs="Arial" w:eastAsia="Arial" w:hAnsi="Arial"/>
                <w:b w:val="false"/>
                <w:bCs w:val="false"/>
                <w:color w:val="1A1816"/>
                <w:sz w:val="17"/>
                <w:szCs w:val="17"/>
              </w:rPr>
              <w:t xml:space="preserve">☐</w:t>
            </w:r>
          </w:p>
        </w:tc>
      </w:tr>
    </w:tbl>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Small"/>
      <w:tabs>
        <w:tab w:val="right" w:pos="9906"/>
      </w:tabs>
    </w:pPr>
    <w:r>
      <w:rPr>
        <w:rFonts w:ascii="Arial" w:cs="Arial" w:eastAsia="Arial" w:hAnsi="Arial"/>
        <w:color w:val="5F5850"/>
        <w:sz w:val="15"/>
        <w:szCs w:val="15"/>
      </w:rPr>
      <w:t xml:space="preserve">K-li-T · www.k-li-t.com · Modèle à adapter à votre organisme. Les exemples sont fictifs.</w:t>
    </w:r>
    <w:r>
      <w:rPr>
        <w:rFonts w:ascii="Arial" w:cs="Arial" w:eastAsia="Arial" w:hAnsi="Arial"/>
        <w:color w:val="5F5850"/>
        <w:sz w:val="15"/>
        <w:szCs w:val="15"/>
      </w:rPr>
      <w:t xml:space="preserve">	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right"/>
    </w:pPr>
    <w:r>
      <w:rPr>
        <w:rFonts w:ascii="Arial" w:cs="Arial" w:eastAsia="Arial" w:hAnsi="Arial"/>
        <w:color w:val="5F5850"/>
        <w:sz w:val="15"/>
        <w:szCs w:val="15"/>
      </w:rPr>
      <w:t xml:space="preserve">K-li-T · Contrat de sous-traitance d’actions de formation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Small">
    <w:name w:val="Footer Small"/>
    <w:basedOn w:val="Normal"/>
    <w:rPr>
      <w:rFonts w:ascii="Arial" w:cs="Arial" w:eastAsia="Arial" w:hAnsi="Arial"/>
      <w:color w:val="5F5850"/>
      <w:sz w:val="15"/>
      <w:szCs w:val="15"/>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ujktuazw1zentkwp2ykr" Type="http://schemas.openxmlformats.org/officeDocument/2006/relationships/hyperlink" Target="https://www.k-li-t.com/modele-contrat-sous-traitance-qualiopi/"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sous-traitance d’actions de formation</dc:title>
  <dc:creator>K-li-T</dc:creator>
  <dc:description>Modèle Word K-li-T pour Qualiopi V10. Les exemples sont fictifs.</dc:description>
  <cp:lastModifiedBy>Un-named</cp:lastModifiedBy>
  <cp:revision>1</cp:revision>
  <dcterms:created xsi:type="dcterms:W3CDTF">2026-10-22T10:47:59.190Z</dcterms:created>
  <dcterms:modified xsi:type="dcterms:W3CDTF">2026-10-22T10:47:59.191Z</dcterms:modified>
</cp:coreProperties>
</file>

<file path=docProps/custom.xml><?xml version="1.0" encoding="utf-8"?>
<Properties xmlns="http://schemas.openxmlformats.org/officeDocument/2006/custom-properties" xmlns:vt="http://schemas.openxmlformats.org/officeDocument/2006/docPropsVTypes"/>
</file>