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8.2.2 à 8.2.4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revue de contrat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fiche par commande ou contrat : avant de vous engager, vérifiez ce que le client demande, ce que vous pouvez livrer et ce qui a changé depuis l’offre. Gardez la fiche avec la commande : elle est votre preuve.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la revue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Commande ou devis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Produit ou service, indice du plan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Quantité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Livraison demandée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Revue réalisée par (fonctions consultées)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Les cinq catégories d’exigences : check-list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4150"/>
        <w:gridCol w:w="1700"/>
        <w:gridCol w:w="1500"/>
        <w:gridCol w:w="210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Catégorie de 8.2.3.1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Remarque ou écart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Plan, indice, quantité, délai, conditionnement et certificats demandés sont-ils clairs et complets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Définies par le client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livraison (lieu, transport) et l’après-livraison (garantie, support) sont-elles précisées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Définies par le client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exigences liées à l’usage prévu, que le client n’a pas écrites, sont-elles identifiées et intégrées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Non définies mais nécessaires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Nos exigences internes (contrôles, marquage, emballage) sont-elles intégrées à la commande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Spécifiées par l’organisme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exigences légales et réglementaires applicables sont-elles identifiées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Légales et réglementaires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devis, les échanges et la commande disent-ils la même chose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Écarts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Avons-nous la matière, la capacité, les compétences et les moyens de contrôle pour livrer à la date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Aptitude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décision, sa date et son auteur sont-ils enregistrés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Informations documentées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Une réponse « Non » ou un doute est un écart à résoudre avant d’accepter (section 4). Si le client ne fournit aucun énoncé écrit de ses exigences, confirmez-les-lui avant l’acceptation : un e-mail récapitulatif suffit.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Fiche de revue de contrat (suite)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Aptitude à répondre : matière, capacité, compétences, moyens, délai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00"/>
        <w:gridCol w:w="3806"/>
      </w:tblGrid>
      <w:tr>
        <w:trPr>
          <w:cantSplit/>
          <w:tblHeader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 ou action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Matière et approvisionnement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Capacité et charge de l’atelier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Compétences nécessaires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Moyens de contrôle et d’étalonnage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Sous-traitance (créneaux, certificats)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Délai réalisable (date ou dates)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Écarts avec l’offre et résolution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00"/>
        <w:gridCol w:w="2200"/>
        <w:gridCol w:w="1806"/>
      </w:tblGrid>
      <w:tr>
        <w:trPr>
          <w:cantSplit/>
          <w:tblHeader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Écart constaté (devis, échanges, commande)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Résolution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Accord du client (date, mode)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Responsable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Décision et diffusion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48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Acceptée   ☐ Acceptée sous conditions   ☐ Déclinée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Conditions éventuelles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Décidée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Diffusion de l’information à jour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Achats   ☐ Production   ☐ Qualité   ☐ Expédition   ☐ Autre : …</w:t>
            </w:r>
          </w:p>
        </w:tc>
      </w:tr>
      <w:tr>
        <w:trPr>
          <w:cantSplit/>
          <w:tblHeader w:val="false"/>
          <w:trHeight w:val="4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Confirmation écrite au client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Oui, le …………   ☐ Sans objet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Modèle fondé sur 8.2.2 à 8.2.4 de l’EN ISO 9001:2026, reformulés avec nos propres mots ; seul le texte officiel fait foi. La norme ne demande ni procédure type, ni formulaire, ni signature : cette fiche et ses questions sont un repère de terrain de K-li-T, à adapter.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Historique des modifications de commande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Historique des modifications de commande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Toute modification d’exigence déclenche une revue, même allégée, puis la mise à jour des documents et l’information des personnes concernées (8.2.4). Une ligne par modification.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150"/>
        <w:gridCol w:w="2250"/>
        <w:gridCol w:w="1800"/>
        <w:gridCol w:w="1300"/>
        <w:gridCol w:w="1700"/>
        <w:gridCol w:w="1306"/>
      </w:tblGrid>
      <w:tr>
        <w:trPr>
          <w:cantSplit/>
          <w:tblHeader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Modification demandée par le client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Impact (délai, prix, capacité)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Documents mis à jour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Personnes informées, visa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Retirez de l’atelier l’ancienne version des plans et des ordres de fabrication dès la mise à jour : une copie périmée qui circule est la première cause d’erreur après une modification.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fabricant de pièces usinées · commande modifiée en cours de route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revue de contrat RDC-2026-058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Commande de 500 supports à alésage, modifiée six jours plus tard par un avenant : plan indice C, tolérance d’alésage resserrée, quantité portée à 650, livraison avancée d’une semaine.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RDC-2026-058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de la revue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Commande du 06/10/2026 ; avenant du 12/10/2026 ; revue de l’avenant le 13/10/2026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Client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Client A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Commande ou devis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Commande CMD-77412, devis D-2026-244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Produit ou service, indice du plan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Support à alésage SA-210, plan indice B puis indice C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Quantité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500, portée à 650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Livraison demandée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Semaine 46, avancée à la semaine 45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Revue réalisée par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commercial et responsable de production ; qualité consultée pour l’avenant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Check-list de la revue de l’avenant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4150"/>
        <w:gridCol w:w="1700"/>
        <w:gridCol w:w="1500"/>
        <w:gridCol w:w="210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Catégorie de 8.2.3.1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Remarque ou écart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Plan, indice, quantité, délai, conditionnement et certificats demandés sont-ils clairs et complets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Définies par le client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Plan indice C et avenant reçus ; quantité 650.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livraison (lieu, transport) et l’après-livraison (garantie, support) sont-elles précisées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Définies par le client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Livraison en deux fois proposée au client.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exigences liées à l’usage prévu, que le client n’a pas écrites, sont-elles identifiées et intégrées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Non définies mais nécessaires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Montage avec une pièce existante : cote d’alésage critique, déjà identifiée.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Nos exigences internes (contrôles, marquage, emballage) sont-elles intégrées à la commande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Spécifiées par l’organisme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Contrôle de l’alésage au tampon H7 ajouté au plan de surveillance.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exigences légales et réglementaires applicables sont-elles identifiées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Légales et réglementaires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Aucune règle propre à cette pièce identifiée.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devis, les échanges et la commande disent-ils la même chose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Écarts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Écart : tolérance resserrée, quantité 650 au lieu de 500, livraison avancée, prix établi sur 500 pièces. Résolu en section 4.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Avons-nous la matière, la capacité, les compétences et les moyens de contrôle pour livrer à la date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Aptitude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Pas de créneau de traitement thermique pour 650 pièces avant la semaine 46. Résolu par deux livraisons.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4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décision, sa date et son auteur sont-ils enregistrés ?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Informations documentées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☒ Oui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Non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☐ Sans objet</w:t>
            </w:r>
          </w:p>
        </w:tc>
        <w:tc>
          <w:tcPr>
            <w:tcW w:type="dxa" w:w="2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Fiche RDC-2026-058 enregistrée avec la commande.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Aptitude à répondre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00"/>
        <w:gridCol w:w="3806"/>
      </w:tblGrid>
      <w:tr>
        <w:trPr>
          <w:cantSplit/>
          <w:tblHeader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Point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 ou action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Matière et approvisionnement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stock de barres couvre 520 pièces ; 130 à commander, délai de huit jours.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Commande de matière passée le 13/10/2026.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Capacité et charge de l’atelier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Compatible avec 400 pièces en semaine 45 et 250 pièces en semaine 47.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Planning mis à jour.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Compétences nécessaires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Opérateurs habilités sur le poste d’alésage.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Aucune action.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Moyens de contrôle et d’étalonnage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tolérance resserrée impose un nouveau tampon ; le tampon actuel ne convient plus.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Nouveau tampon commandé, délai de cinq jours.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Sous-traitance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sous-traitant peut traiter 400 pièces à temps pour la semaine 45, pas les 650.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Livraison complète avancée refusée.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Délai réalisable</w:t>
            </w:r>
          </w:p>
        </w:tc>
        <w:tc>
          <w:tcPr>
            <w:tcW w:type="dxa" w:w="3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400 pièces en semaine 45, 250 pièces en semaine 47.</w:t>
            </w:r>
          </w:p>
        </w:tc>
        <w:tc>
          <w:tcPr>
            <w:tcW w:type="dxa" w:w="3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Proposé au client.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Écarts avec l’offre et résolution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00"/>
        <w:gridCol w:w="2200"/>
        <w:gridCol w:w="1806"/>
      </w:tblGrid>
      <w:tr>
        <w:trPr>
          <w:cantSplit/>
          <w:tblHeader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Écart constaté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Résolution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Accord du client (date, mode)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Responsable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indice B remplacé par l’indice C : tolérance d’alésage resserrée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Nouveau tampon commandé, plan de surveillance mis à jour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E-mail du 14/10/2026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de production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Quantité portée de 500 à 650 pièces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Matière complémentaire commandée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E-mail du 14/10/2026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achats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Livraison avancée d’une semaine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Refusée pour la totalité ; deux livraisons proposées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E-mail du 14/10/2026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commercial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Prix de l’offre établi sur 500 pièces et sur l’ancienne tolérance</w:t>
            </w:r>
          </w:p>
        </w:tc>
        <w:tc>
          <w:tcPr>
            <w:tcW w:type="dxa" w:w="3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Prix révisé, offre D-2026-244 révisée et envoyée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E-mail du 14/10/2026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commercial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Décision et diffusion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Acceptée   ☒ Acceptée sous conditions   ☐ Déclinée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Conditions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Deux livraisons : 400 pièces en semaine 45, 250 pièces en semaine 47 ; prix révisé.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Décidée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commercial et responsable de production, 13/10/2026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Diffusion de l’information à jour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☒ Achats   ☒ Production   ☒ Qualité   ☒ Expédition   ☐ Autre : …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Confirmation écrite au client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☒ Oui, e-mail du 14/10/2026   ☐ Sans objet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Historique des modifications de commande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150"/>
        <w:gridCol w:w="2250"/>
        <w:gridCol w:w="1800"/>
        <w:gridCol w:w="1300"/>
        <w:gridCol w:w="1700"/>
        <w:gridCol w:w="1306"/>
      </w:tblGrid>
      <w:tr>
        <w:trPr>
          <w:cantSplit/>
          <w:tblHeader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Modification demandée par le client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Impact (délai, prix, capacité)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Décision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Documents mis à jour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Personnes informées, visa</w:t>
            </w:r>
          </w:p>
        </w:tc>
      </w:tr>
      <w:tr>
        <w:trPr>
          <w:cantSplit/>
          <w:tblHeader w:val="false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Avenant : plan indice C, tolérance d’alésage resserrée, quantité 650, livraison avancée d’une semaine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Matière + 130 pièces (huit jours) ; nouveau tampon (cinq jours) ; pas de traitement thermique de 650 pièces avant la semaine 46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Acceptée sous conditions : deux livraisons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Ordre de fabrication, plan de surveillance, plan indice C, commande de matière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Achats, production, contrôle, expédition ; plans indice B retirés de l’atelier. Visa RC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60"/>
        </w:trPr>
        <w:tc>
          <w:tcPr>
            <w:tcW w:type="dxa" w:w="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Exemple fictif, à ne pas recopier. Le compte rendu de la revue, l’avenant et l’e-mail du client constituent la preuve exigée par 8.2.3.2 ; la mise à jour des documents et l’information des personnes concernées répondent à 8.2.4.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Fiche de revue de contrat (8.2.2 à 8.2.4)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revue de contrat (8.2.2 à 8.2.4)</dc:title>
  <dc:creator>K-li-T</dc:creator>
  <cp:lastModifiedBy>Un-named</cp:lastModifiedBy>
  <cp:revision>1</cp:revision>
  <dcterms:created xsi:type="dcterms:W3CDTF">2026-10-21T15:00:47.607Z</dcterms:created>
  <dcterms:modified xsi:type="dcterms:W3CDTF">2026-10-21T15:00:47.607Z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