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E8593C" w:color="auto" w:val="clear"/>
        <w:spacing w:after="180" w:before="0"/>
        <w:ind w:left="0"/>
      </w:pPr>
      <w:r>
        <w:rPr>
          <w:rFonts w:ascii="Arial" w:cs="Arial" w:eastAsia="Arial" w:hAnsi="Arial"/>
          <w:b/>
          <w:bCs/>
          <w:color w:val="FFFFFF"/>
          <w:sz w:val="17"/>
          <w:szCs w:val="17"/>
        </w:rPr>
        <w:t xml:space="preserve">K-li-T · Modèle ISO 9001:2026 · Paragraphes 9.3.1 à 9.3.3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color w:val="1A1816"/>
          <w:sz w:val="34"/>
          <w:szCs w:val="34"/>
        </w:rPr>
        <w:t xml:space="preserve">Compte rendu de revue de direction</w:t>
      </w:r>
    </w:p>
    <w:p>
      <w:pPr>
        <w:spacing w:after="140" w:before="0"/>
      </w:pPr>
      <w:r>
        <w:rPr>
          <w:rFonts w:ascii="Arial" w:cs="Arial" w:eastAsia="Arial" w:hAnsi="Arial"/>
          <w:i/>
          <w:iCs/>
          <w:color w:val="5F5850"/>
          <w:sz w:val="19"/>
          <w:szCs w:val="19"/>
        </w:rPr>
        <w:t xml:space="preserve">Un compte rendu d’une à deux pages : ce qui a été examiné, et surtout les décisions, chacune avec un responsable et une échéance. Il est la preuve exigée par le paragraphe 9.3.3.</w:t>
      </w:r>
    </w:p>
    <w:tbl>
      <w:tblPr>
        <w:tblW w:type="dxa" w:w="148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4800"/>
        <w:gridCol w:w="2400"/>
        <w:gridCol w:w="5238"/>
      </w:tblGrid>
      <w:tr>
        <w:trPr>
          <w:cantSplit/>
          <w:tblHeader w:val="false"/>
        </w:trPr>
        <w:tc>
          <w:tcPr>
            <w:tcW w:type="dxa" w:w="2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Date</w:t>
            </w:r>
          </w:p>
        </w:tc>
        <w:tc>
          <w:tcPr>
            <w:tcW w:type="dxa" w:w="4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2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Lieu ou visioconférence</w:t>
            </w:r>
          </w:p>
        </w:tc>
        <w:tc>
          <w:tcPr>
            <w:tcW w:type="dxa" w:w="5238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Animateur</w:t>
            </w:r>
          </w:p>
        </w:tc>
        <w:tc>
          <w:tcPr>
            <w:tcW w:type="dxa" w:w="4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2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Rédacteur</w:t>
            </w:r>
          </w:p>
        </w:tc>
        <w:tc>
          <w:tcPr>
            <w:tcW w:type="dxa" w:w="5238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Dossier d’entrée daté du</w:t>
            </w:r>
          </w:p>
        </w:tc>
        <w:tc>
          <w:tcPr>
            <w:tcW w:type="dxa" w:w="4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2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Revue précédente du</w:t>
            </w:r>
          </w:p>
        </w:tc>
        <w:tc>
          <w:tcPr>
            <w:tcW w:type="dxa" w:w="5238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Participants</w:t>
      </w:r>
    </w:p>
    <w:tbl>
      <w:tblPr>
        <w:tblW w:type="dxa" w:w="148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00"/>
        <w:gridCol w:w="4600"/>
        <w:gridCol w:w="1600"/>
        <w:gridCol w:w="4038"/>
      </w:tblGrid>
      <w:tr>
        <w:trPr>
          <w:cantSplit/>
          <w:tblHeader/>
        </w:trPr>
        <w:tc>
          <w:tcPr>
            <w:tcW w:type="dxa" w:w="4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Nom</w:t>
            </w:r>
          </w:p>
        </w:tc>
        <w:tc>
          <w:tcPr>
            <w:tcW w:type="dxa" w:w="4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Fonction</w:t>
            </w:r>
          </w:p>
        </w:tc>
        <w:tc>
          <w:tcPr>
            <w:tcW w:type="dxa" w:w="1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Présent</w:t>
            </w:r>
          </w:p>
        </w:tc>
        <w:tc>
          <w:tcPr>
            <w:tcW w:type="dxa" w:w="4038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Observations</w:t>
            </w:r>
          </w:p>
        </w:tc>
      </w:tr>
      <w:tr>
        <w:trPr>
          <w:cantSplit/>
          <w:tblHeader w:val="false"/>
          <w:trHeight w:val="400"/>
        </w:trPr>
        <w:tc>
          <w:tcPr>
            <w:tcW w:type="dxa" w:w="4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4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☐</w:t>
            </w:r>
          </w:p>
        </w:tc>
        <w:tc>
          <w:tcPr>
            <w:tcW w:type="dxa" w:w="4038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400"/>
        </w:trPr>
        <w:tc>
          <w:tcPr>
            <w:tcW w:type="dxa" w:w="4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4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☐</w:t>
            </w:r>
          </w:p>
        </w:tc>
        <w:tc>
          <w:tcPr>
            <w:tcW w:type="dxa" w:w="4038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400"/>
        </w:trPr>
        <w:tc>
          <w:tcPr>
            <w:tcW w:type="dxa" w:w="4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4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☐</w:t>
            </w:r>
          </w:p>
        </w:tc>
        <w:tc>
          <w:tcPr>
            <w:tcW w:type="dxa" w:w="4038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400"/>
        </w:trPr>
        <w:tc>
          <w:tcPr>
            <w:tcW w:type="dxa" w:w="4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4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☐</w:t>
            </w:r>
          </w:p>
        </w:tc>
        <w:tc>
          <w:tcPr>
            <w:tcW w:type="dxa" w:w="4038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400"/>
        </w:trPr>
        <w:tc>
          <w:tcPr>
            <w:tcW w:type="dxa" w:w="4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4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☐</w:t>
            </w:r>
          </w:p>
        </w:tc>
        <w:tc>
          <w:tcPr>
            <w:tcW w:type="dxa" w:w="4038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Éléments d’entrée examinés (9.3.2)</w:t>
      </w:r>
    </w:p>
    <w:tbl>
      <w:tblPr>
        <w:tblW w:type="dxa" w:w="148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400"/>
        <w:gridCol w:w="4800"/>
        <w:gridCol w:w="3738"/>
      </w:tblGrid>
      <w:tr>
        <w:trPr>
          <w:cantSplit/>
          <w:tblHeader/>
        </w:trPr>
        <w:tc>
          <w:tcPr>
            <w:tcW w:type="dxa" w:w="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Réf.</w:t>
            </w:r>
          </w:p>
        </w:tc>
        <w:tc>
          <w:tcPr>
            <w:tcW w:type="dxa" w:w="5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Élément d’entrée</w:t>
            </w:r>
          </w:p>
        </w:tc>
        <w:tc>
          <w:tcPr>
            <w:tcW w:type="dxa" w:w="4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Constat et tendance</w:t>
            </w:r>
          </w:p>
        </w:tc>
        <w:tc>
          <w:tcPr>
            <w:tcW w:type="dxa" w:w="3738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Observations</w:t>
            </w:r>
          </w:p>
        </w:tc>
      </w:tr>
      <w:tr>
        <w:trPr>
          <w:cantSplit/>
          <w:tblHeader w:val="false"/>
          <w:trHeight w:val="470"/>
        </w:trPr>
        <w:tc>
          <w:tcPr>
            <w:tcW w:type="dxa" w:w="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a</w:t>
            </w:r>
          </w:p>
        </w:tc>
        <w:tc>
          <w:tcPr>
            <w:tcW w:type="dxa" w:w="5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État des actions des revues précédentes</w:t>
            </w:r>
          </w:p>
        </w:tc>
        <w:tc>
          <w:tcPr>
            <w:tcW w:type="dxa" w:w="4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738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470"/>
        </w:trPr>
        <w:tc>
          <w:tcPr>
            <w:tcW w:type="dxa" w:w="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b</w:t>
            </w:r>
          </w:p>
        </w:tc>
        <w:tc>
          <w:tcPr>
            <w:tcW w:type="dxa" w:w="5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Changements dans les enjeux internes et externes</w:t>
            </w:r>
          </w:p>
        </w:tc>
        <w:tc>
          <w:tcPr>
            <w:tcW w:type="dxa" w:w="4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738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470"/>
        </w:trPr>
        <w:tc>
          <w:tcPr>
            <w:tcW w:type="dxa" w:w="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c</w:t>
            </w:r>
          </w:p>
        </w:tc>
        <w:tc>
          <w:tcPr>
            <w:tcW w:type="dxa" w:w="5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Changements dans les besoins et attentes des parties intéressées</w:t>
            </w:r>
          </w:p>
        </w:tc>
        <w:tc>
          <w:tcPr>
            <w:tcW w:type="dxa" w:w="4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738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470"/>
        </w:trPr>
        <w:tc>
          <w:tcPr>
            <w:tcW w:type="dxa" w:w="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d1</w:t>
            </w:r>
          </w:p>
        </w:tc>
        <w:tc>
          <w:tcPr>
            <w:tcW w:type="dxa" w:w="5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Non-conformités et actions correctives (tendances)</w:t>
            </w:r>
          </w:p>
        </w:tc>
        <w:tc>
          <w:tcPr>
            <w:tcW w:type="dxa" w:w="4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738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470"/>
        </w:trPr>
        <w:tc>
          <w:tcPr>
            <w:tcW w:type="dxa" w:w="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d2</w:t>
            </w:r>
          </w:p>
        </w:tc>
        <w:tc>
          <w:tcPr>
            <w:tcW w:type="dxa" w:w="5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Résultats de la surveillance et de la mesure</w:t>
            </w:r>
          </w:p>
        </w:tc>
        <w:tc>
          <w:tcPr>
            <w:tcW w:type="dxa" w:w="4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738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470"/>
        </w:trPr>
        <w:tc>
          <w:tcPr>
            <w:tcW w:type="dxa" w:w="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d3</w:t>
            </w:r>
          </w:p>
        </w:tc>
        <w:tc>
          <w:tcPr>
            <w:tcW w:type="dxa" w:w="5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Résultats des audits (tendances)</w:t>
            </w:r>
          </w:p>
        </w:tc>
        <w:tc>
          <w:tcPr>
            <w:tcW w:type="dxa" w:w="4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738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470"/>
        </w:trPr>
        <w:tc>
          <w:tcPr>
            <w:tcW w:type="dxa" w:w="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d4</w:t>
            </w:r>
          </w:p>
        </w:tc>
        <w:tc>
          <w:tcPr>
            <w:tcW w:type="dxa" w:w="5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Satisfaction du client et retours des parties intéressées</w:t>
            </w:r>
          </w:p>
        </w:tc>
        <w:tc>
          <w:tcPr>
            <w:tcW w:type="dxa" w:w="4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738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470"/>
        </w:trPr>
        <w:tc>
          <w:tcPr>
            <w:tcW w:type="dxa" w:w="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d5</w:t>
            </w:r>
          </w:p>
        </w:tc>
        <w:tc>
          <w:tcPr>
            <w:tcW w:type="dxa" w:w="5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Degré de réalisation des objectifs qualité</w:t>
            </w:r>
          </w:p>
        </w:tc>
        <w:tc>
          <w:tcPr>
            <w:tcW w:type="dxa" w:w="4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738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470"/>
        </w:trPr>
        <w:tc>
          <w:tcPr>
            <w:tcW w:type="dxa" w:w="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d6</w:t>
            </w:r>
          </w:p>
        </w:tc>
        <w:tc>
          <w:tcPr>
            <w:tcW w:type="dxa" w:w="5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Performance des processus et conformité des produits</w:t>
            </w:r>
          </w:p>
        </w:tc>
        <w:tc>
          <w:tcPr>
            <w:tcW w:type="dxa" w:w="4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738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470"/>
        </w:trPr>
        <w:tc>
          <w:tcPr>
            <w:tcW w:type="dxa" w:w="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d7</w:t>
            </w:r>
          </w:p>
        </w:tc>
        <w:tc>
          <w:tcPr>
            <w:tcW w:type="dxa" w:w="5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Performances des prestataires externes</w:t>
            </w:r>
          </w:p>
        </w:tc>
        <w:tc>
          <w:tcPr>
            <w:tcW w:type="dxa" w:w="4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738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470"/>
        </w:trPr>
        <w:tc>
          <w:tcPr>
            <w:tcW w:type="dxa" w:w="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e</w:t>
            </w:r>
          </w:p>
        </w:tc>
        <w:tc>
          <w:tcPr>
            <w:tcW w:type="dxa" w:w="5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Opportunités d'amélioration</w:t>
            </w:r>
          </w:p>
        </w:tc>
        <w:tc>
          <w:tcPr>
            <w:tcW w:type="dxa" w:w="4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738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470"/>
        </w:trPr>
        <w:tc>
          <w:tcPr>
            <w:tcW w:type="dxa" w:w="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f</w:t>
            </w:r>
          </w:p>
        </w:tc>
        <w:tc>
          <w:tcPr>
            <w:tcW w:type="dxa" w:w="5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Adéquation des ressources</w:t>
            </w:r>
          </w:p>
        </w:tc>
        <w:tc>
          <w:tcPr>
            <w:tcW w:type="dxa" w:w="4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738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470"/>
        </w:trPr>
        <w:tc>
          <w:tcPr>
            <w:tcW w:type="dxa" w:w="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g</w:t>
            </w:r>
          </w:p>
        </w:tc>
        <w:tc>
          <w:tcPr>
            <w:tcW w:type="dxa" w:w="5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Efficacité des actions sur les risques (6.1.2)</w:t>
            </w:r>
          </w:p>
        </w:tc>
        <w:tc>
          <w:tcPr>
            <w:tcW w:type="dxa" w:w="4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738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470"/>
        </w:trPr>
        <w:tc>
          <w:tcPr>
            <w:tcW w:type="dxa" w:w="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h</w:t>
            </w:r>
          </w:p>
        </w:tc>
        <w:tc>
          <w:tcPr>
            <w:tcW w:type="dxa" w:w="5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Efficacité des actions sur les opportunités (6.1.3)</w:t>
            </w:r>
          </w:p>
        </w:tc>
        <w:tc>
          <w:tcPr>
            <w:tcW w:type="dxa" w:w="4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738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Décisions de la revue (9.3.3)</w:t>
      </w:r>
    </w:p>
    <w:tbl>
      <w:tblPr>
        <w:tblW w:type="dxa" w:w="148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3400"/>
        <w:gridCol w:w="4200"/>
        <w:gridCol w:w="2300"/>
        <w:gridCol w:w="2138"/>
      </w:tblGrid>
      <w:tr>
        <w:trPr>
          <w:cantSplit/>
          <w:tblHeader/>
        </w:trPr>
        <w:tc>
          <w:tcPr>
            <w:tcW w:type="dxa" w:w="2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Sujet</w:t>
            </w:r>
          </w:p>
        </w:tc>
        <w:tc>
          <w:tcPr>
            <w:tcW w:type="dxa" w:w="3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Constat</w:t>
            </w:r>
          </w:p>
        </w:tc>
        <w:tc>
          <w:tcPr>
            <w:tcW w:type="dxa" w:w="4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Décision</w:t>
            </w:r>
          </w:p>
        </w:tc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Responsable</w:t>
            </w:r>
          </w:p>
        </w:tc>
        <w:tc>
          <w:tcPr>
            <w:tcW w:type="dxa" w:w="2138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Échéance</w:t>
            </w:r>
          </w:p>
        </w:tc>
      </w:tr>
      <w:tr>
        <w:trPr>
          <w:cantSplit/>
          <w:tblHeader w:val="false"/>
          <w:trHeight w:val="700"/>
        </w:trPr>
        <w:tc>
          <w:tcPr>
            <w:tcW w:type="dxa" w:w="2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Opportunités d’amélioration continue</w:t>
            </w:r>
          </w:p>
        </w:tc>
        <w:tc>
          <w:tcPr>
            <w:tcW w:type="dxa" w:w="3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4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2138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700"/>
        </w:trPr>
        <w:tc>
          <w:tcPr>
            <w:tcW w:type="dxa" w:w="2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Changements à apporter au système</w:t>
            </w:r>
          </w:p>
        </w:tc>
        <w:tc>
          <w:tcPr>
            <w:tcW w:type="dxa" w:w="3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4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2138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700"/>
        </w:trPr>
        <w:tc>
          <w:tcPr>
            <w:tcW w:type="dxa" w:w="2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Besoins en ressources</w:t>
            </w:r>
          </w:p>
        </w:tc>
        <w:tc>
          <w:tcPr>
            <w:tcW w:type="dxa" w:w="3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4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2138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600"/>
        </w:trPr>
        <w:tc>
          <w:tcPr>
            <w:tcW w:type="dxa" w:w="2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4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2138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600"/>
        </w:trPr>
        <w:tc>
          <w:tcPr>
            <w:tcW w:type="dxa" w:w="2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4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2138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</w:tbl>
    <w:p>
      <w:pPr>
        <w:spacing w:after="80" w:before="0"/>
      </w:pPr>
    </w:p>
    <w:tbl>
      <w:tblPr>
        <w:tblW w:type="dxa" w:w="148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419"/>
        <w:gridCol w:w="7419"/>
      </w:tblGrid>
      <w:tr>
        <w:trPr>
          <w:cantSplit/>
          <w:tblHeader/>
        </w:trPr>
        <w:tc>
          <w:tcPr>
            <w:tcW w:type="dxa" w:w="7419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Diffusion et prochaine revue</w:t>
            </w:r>
          </w:p>
        </w:tc>
        <w:tc>
          <w:tcPr>
            <w:tcW w:type="dxa" w:w="7419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Validation du dirigeant (nom, date, signature)</w:t>
            </w:r>
          </w:p>
        </w:tc>
      </w:tr>
      <w:tr>
        <w:trPr>
          <w:cantSplit/>
          <w:tblHeader w:val="false"/>
          <w:trHeight w:val="900"/>
        </w:trPr>
        <w:tc>
          <w:tcPr>
            <w:tcW w:type="dxa" w:w="7419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Diffusé aux personnes concernées le […]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Prochaine revue prévue le […]</w:t>
            </w:r>
          </w:p>
        </w:tc>
        <w:tc>
          <w:tcPr>
            <w:tcW w:type="dxa" w:w="7419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100"/>
      </w:pPr>
      <w:r>
        <w:rPr>
          <w:rFonts w:ascii="Arial" w:cs="Arial" w:eastAsia="Arial" w:hAnsi="Arial"/>
          <w:i/>
          <w:iCs/>
          <w:color w:val="5F5850"/>
          <w:sz w:val="16"/>
          <w:szCs w:val="16"/>
        </w:rPr>
        <w:t xml:space="preserve">Modèle fondé sur les paragraphes 9.3.1 à 9.3.3 de l’EN ISO 9001:2026, reformulés avec nos propres mots. Seul le texte officiel fait foi. Le dossier d’entrée sera plus facile à préparer avec le classeur Excel qui accompagne ce modèle.</w:t>
      </w:r>
    </w:p>
    <w:p>
      <w:pPr>
        <w:pageBreakBefore/>
        <w:shd w:fill="1D9E75" w:color="auto" w:val="clear"/>
        <w:spacing w:after="180" w:before="0"/>
        <w:ind w:left="0"/>
      </w:pPr>
      <w:r>
        <w:rPr>
          <w:rFonts w:ascii="Arial" w:cs="Arial" w:eastAsia="Arial" w:hAnsi="Arial"/>
          <w:b/>
          <w:bCs/>
          <w:color w:val="FFFFFF"/>
          <w:sz w:val="17"/>
          <w:szCs w:val="17"/>
        </w:rPr>
        <w:t xml:space="preserve">Exemple rempli (fictif) · extrait pour un atelier d’usinage de trente personnes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color w:val="1A1816"/>
          <w:sz w:val="34"/>
          <w:szCs w:val="34"/>
        </w:rPr>
        <w:t xml:space="preserve">Compte rendu de revue de direction : décisions</w:t>
      </w:r>
    </w:p>
    <w:p>
      <w:pPr>
        <w:spacing w:after="140" w:before="0"/>
      </w:pPr>
      <w:r>
        <w:rPr>
          <w:rFonts w:ascii="Arial" w:cs="Arial" w:eastAsia="Arial" w:hAnsi="Arial"/>
          <w:i/>
          <w:iCs/>
          <w:color w:val="5F5850"/>
          <w:sz w:val="19"/>
          <w:szCs w:val="19"/>
        </w:rPr>
        <w:t xml:space="preserve">Les décisions comptent plus que les commentaires. Chacune a un responsable, une échéance et, si nécessaire, des moyens.</w:t>
      </w:r>
    </w:p>
    <w:tbl>
      <w:tblPr>
        <w:tblW w:type="dxa" w:w="148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800"/>
        <w:gridCol w:w="4000"/>
        <w:gridCol w:w="2300"/>
        <w:gridCol w:w="2338"/>
      </w:tblGrid>
      <w:tr>
        <w:trPr>
          <w:cantSplit/>
          <w:tblHeader/>
        </w:trPr>
        <w:tc>
          <w:tcPr>
            <w:tcW w:type="dxa" w:w="2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Sujet</w:t>
            </w:r>
          </w:p>
        </w:tc>
        <w:tc>
          <w:tcPr>
            <w:tcW w:type="dxa" w:w="3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Constat</w:t>
            </w:r>
          </w:p>
        </w:tc>
        <w:tc>
          <w:tcPr>
            <w:tcW w:type="dxa" w:w="4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Décision</w:t>
            </w:r>
          </w:p>
        </w:tc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Responsable</w:t>
            </w:r>
          </w:p>
        </w:tc>
        <w:tc>
          <w:tcPr>
            <w:tcW w:type="dxa" w:w="2338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Échéance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Satisfaction client</w:t>
            </w:r>
          </w:p>
        </w:tc>
        <w:tc>
          <w:tcPr>
            <w:tcW w:type="dxa" w:w="3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Livraison à l'heure en baisse de 94 % à 91 % sur deux ans</w:t>
            </w:r>
          </w:p>
        </w:tc>
        <w:tc>
          <w:tcPr>
            <w:tcW w:type="dxa" w:w="4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Analyse des retards par client, puis plan d'action</w:t>
            </w:r>
          </w:p>
        </w:tc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Responsable production</w:t>
            </w:r>
          </w:p>
        </w:tc>
        <w:tc>
          <w:tcPr>
            <w:tcW w:type="dxa" w:w="2338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Fin du mois suivant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Attentes des parties intéressées</w:t>
            </w:r>
          </w:p>
        </w:tc>
        <w:tc>
          <w:tcPr>
            <w:tcW w:type="dxa" w:w="3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Deux clients demandent un point d'avancement écrit toutes les deux semaines</w:t>
            </w:r>
          </w:p>
        </w:tc>
        <w:tc>
          <w:tcPr>
            <w:tcW w:type="dxa" w:w="4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Mise en place d'un modèle de point d'avancement</w:t>
            </w:r>
          </w:p>
        </w:tc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Responsable commercial</w:t>
            </w:r>
          </w:p>
        </w:tc>
        <w:tc>
          <w:tcPr>
            <w:tcW w:type="dxa" w:w="2338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Dans deux mois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Risque : départ d'un régleur clé</w:t>
            </w:r>
          </w:p>
        </w:tc>
        <w:tc>
          <w:tcPr>
            <w:tcW w:type="dxa" w:w="3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Fiche de réglage rédigée, suppléant en formation</w:t>
            </w:r>
          </w:p>
        </w:tc>
        <w:tc>
          <w:tcPr>
            <w:tcW w:type="dxa" w:w="4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Action jugée efficace, risque réévalué</w:t>
            </w:r>
          </w:p>
        </w:tc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Responsable qualité</w:t>
            </w:r>
          </w:p>
        </w:tc>
        <w:tc>
          <w:tcPr>
            <w:tcW w:type="dxa" w:w="2338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Clôturé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Opportunité : traçabilité par code-barres</w:t>
            </w:r>
          </w:p>
        </w:tc>
        <w:tc>
          <w:tcPr>
            <w:tcW w:type="dxa" w:w="3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Essai concluant sur un atelier</w:t>
            </w:r>
          </w:p>
        </w:tc>
        <w:tc>
          <w:tcPr>
            <w:tcW w:type="dxa" w:w="4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Généralisation aux autres ateliers</w:t>
            </w:r>
          </w:p>
        </w:tc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Dirigeant</w:t>
            </w:r>
          </w:p>
        </w:tc>
        <w:tc>
          <w:tcPr>
            <w:tcW w:type="dxa" w:w="2338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Fin de l'année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Ressources</w:t>
            </w:r>
          </w:p>
        </w:tc>
        <w:tc>
          <w:tcPr>
            <w:tcW w:type="dxa" w:w="3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Maintenance préventive en retard faute de temps</w:t>
            </w:r>
          </w:p>
        </w:tc>
        <w:tc>
          <w:tcPr>
            <w:tcW w:type="dxa" w:w="4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Recrutement à mi-temps d'un technicien de maintenance</w:t>
            </w:r>
          </w:p>
        </w:tc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Dirigeant</w:t>
            </w:r>
          </w:p>
        </w:tc>
        <w:tc>
          <w:tcPr>
            <w:tcW w:type="dxa" w:w="2338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Prochain trimestre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Changement du système</w:t>
            </w:r>
          </w:p>
        </w:tc>
        <w:tc>
          <w:tcPr>
            <w:tcW w:type="dxa" w:w="3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Remplacement de l'outil de suivi des non-conformités</w:t>
            </w:r>
          </w:p>
        </w:tc>
        <w:tc>
          <w:tcPr>
            <w:tcW w:type="dxa" w:w="4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Planification avec la fiche de changement</w:t>
            </w:r>
          </w:p>
        </w:tc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Responsable qualité</w:t>
            </w:r>
          </w:p>
        </w:tc>
        <w:tc>
          <w:tcPr>
            <w:tcW w:type="dxa" w:w="2338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Prochaine revue</w:t>
            </w:r>
          </w:p>
        </w:tc>
      </w:tr>
    </w:tbl>
    <w:p>
      <w:pPr>
        <w:spacing w:after="60" w:before="100"/>
      </w:pPr>
      <w:r>
        <w:rPr>
          <w:rFonts w:ascii="Arial" w:cs="Arial" w:eastAsia="Arial" w:hAnsi="Arial"/>
          <w:i/>
          <w:iCs/>
          <w:color w:val="5F5850"/>
          <w:sz w:val="16"/>
          <w:szCs w:val="16"/>
        </w:rPr>
        <w:t xml:space="preserve">Ce compte rendu fait un à deux pages. Il rappelle la liste des participants, la date, les éléments examinés et les décisions. Il est diffusé aux personnes concernées et sert de point de départ à la revue suivante (élément a).</w:t>
      </w:r>
    </w:p>
    <w:sectPr>
      <w:headerReference w:type="default" r:id="rId7"/>
      <w:footerReference w:type="default" r:id="rId8"/>
      <w:pgSz w:w="16838" w:h="11906" w:orient="landscape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Small"/>
      <w:tabs>
        <w:tab w:val="right" w:pos="14838"/>
      </w:tabs>
    </w:pPr>
    <w:r>
      <w:rPr>
        <w:rFonts w:ascii="Arial" w:cs="Arial" w:eastAsia="Arial" w:hAnsi="Arial"/>
        <w:color w:val="5F5850"/>
        <w:sz w:val="15"/>
        <w:szCs w:val="15"/>
      </w:rPr>
      <w:t xml:space="preserve">K-li-T · www.k-li-t.com · Modèle à adapter à votre entreprise. Les exemples sont fictifs.</w:t>
    </w:r>
    <w:r>
      <w:rPr>
        <w:rFonts w:ascii="Arial" w:cs="Arial" w:eastAsia="Arial" w:hAnsi="Arial"/>
        <w:color w:val="5F5850"/>
        <w:sz w:val="15"/>
        <w:szCs w:val="15"/>
      </w:rPr>
      <w:t xml:space="preserve">	Page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/>
      <w:jc w:val="right"/>
    </w:pPr>
    <w:r>
      <w:rPr>
        <w:rFonts w:ascii="Arial" w:cs="Arial" w:eastAsia="Arial" w:hAnsi="Arial"/>
        <w:color w:val="5F5850"/>
        <w:sz w:val="15"/>
        <w:szCs w:val="15"/>
      </w:rPr>
      <w:t xml:space="preserve">K-li-T · Compte rendu de revue de direction (9.3)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FooterSmall">
    <w:name w:val="Footer Small"/>
    <w:basedOn w:val="Normal"/>
    <w:rPr>
      <w:rFonts w:ascii="Arial" w:cs="Arial" w:eastAsia="Arial" w:hAnsi="Arial"/>
      <w:color w:val="5F5850"/>
      <w:sz w:val="15"/>
      <w:szCs w:val="1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Compte rendu de revue de direction (9.3)</dc:title>
  <dc:creator>K-li-T</dc:creator>
  <cp:lastModifiedBy>Un-named</cp:lastModifiedBy>
  <cp:revision>1</cp:revision>
  <dcterms:created xsi:type="dcterms:W3CDTF">2026-10-21T09:04:16.569Z</dcterms:created>
  <dcterms:modified xsi:type="dcterms:W3CDTF">2026-10-21T09:04:16.569Z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