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5.1.1, point i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Charte éthique : modèle d’une page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La norme demande à la direction de promouvoir un comportement éthique, sans imposer de charte. Une page qui décrit des comportements observables rend l’exigence concrète. Choisissez cinq à sept principes avec l’encadrement et quelques opérateurs, écrivez pour chacun une phrase « nous faisons » et une phrase « nous ne faisons pas », puis supprimez les indications en italique avant diffusion.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6"/>
      </w:tblGrid>
      <w:tr>
        <w:trPr>
          <w:cantSplit/>
          <w:tblHeader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Principe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Nous nous engageons à…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Nous ne faisons pas…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une mesure hors tolérance, un délai court. Quel comportement attendez-vous ?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Loyauté envers le client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 écart connu, une pression sur la livraison.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Respect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une tension entre un chef d’équipe et un intérimaire.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Sécurité d’abord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une dérive de cadence, un poste dangereux.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Probité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 cadeau, une invitation lors d’un appel d’offres.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Confidentialité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Situation type : un plan laissé sur un poste partagé.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[Votre principe]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 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Si j’ai un doute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206"/>
      </w:tblGrid>
      <w:tr>
        <w:trPr>
          <w:cantSplit/>
          <w:tblHeader w:val="false"/>
          <w:trHeight w:val="78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À qui j’en parle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Votre responsable, la direction, un référent ou un tiers de confiance (nom ou fonction). Prévoyez une personne autre que le supérieur direct.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Délai de réponse annoncé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Garantie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Aucun signalement fait de bonne foi n’entraîne de sanction. [À adapter.]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Approbation et diffusion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906"/>
      </w:tblGrid>
      <w:tr>
        <w:trPr>
          <w:cantSplit/>
          <w:tblHeader/>
        </w:trPr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 et date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Approuvée par (nom, fonction)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 de la direction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40" w:before="100"/>
      </w:pPr>
      <w:r>
        <w:rPr>
          <w:rFonts w:ascii="Arial" w:cs="Arial" w:eastAsia="Arial" w:hAnsi="Arial"/>
          <w:color w:val="1A1816"/>
          <w:sz w:val="19"/>
          <w:szCs w:val="19"/>
        </w:rPr>
        <w:t xml:space="preserve">☐  Livret d’accueil     ☐  Affichage     ☐  Réunion annuelle     ☐  Politique qualité     ☐  Clients et fournisseurs</w:t>
      </w:r>
    </w:p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le point i et la note 2 du paragraphe 5.1.1 et sur l’annexe A (A.5.1, A.5.2) de l’EN ISO 9001:2026, reformulés avec nos propres mots ; seul le texte officiel fait foi. Les principes proposés sont des repères de terrain de K-li-T. Ce modèle ne constitue pas un conseil juridique : des obligations légales distinctes (alerte professionnelle, lutte contre la corruption) peuvent s’appliquer selon votre taille ; vérifiez-les avec votre conseil juridique.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entreprise industrielle de soixante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Notre charte éthique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Six principes, décrits par ce que nous faisons et ce que nous ne faisons pas. Valable pour tous, de l’opérateur au dirigeant.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6"/>
      </w:tblGrid>
      <w:tr>
        <w:trPr>
          <w:cantSplit/>
          <w:tblHeader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Principe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Nous nous engageons à…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Nous ne faisons pas…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Enregistrer ce que nous mesurons et ce que nous constatons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Modifier, recopier ou antidater un enregistrement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Loyauté envers le client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Signaler tout écart connu avant la livraison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Livrer une pièce douteuse en espérant qu’elle passe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Respect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Traiter chacun avec égards, quel que soit son statut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Tolérer moqueries, pressions ou propos déplacés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Sécurité d’abord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Arrêter un poste en cas de danger, sans crainte de sanction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Demander de « faire vite » au détriment de la sécurité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Probité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Refuser les avantages qui pèsent sur une décision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Accepter un cadeau en échange d’une préférence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Confidentialité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Protéger les informations de nos clients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Partager des plans hors du cadre prévu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Si j’ai un doute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206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À qui j’en parle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À mon responsable ou, si je préfère, à la responsable des ressources humaines ou à la direction.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Délai de réponse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Une réponse sous cinq jours ouvrés.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Garantie</w:t>
            </w:r>
          </w:p>
        </w:tc>
        <w:tc>
          <w:tcPr>
            <w:tcW w:type="dxa" w:w="7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Aucun signalement fait de bonne foi n’entraîne de sanction.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Approbation et diffusion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906"/>
      </w:tblGrid>
      <w:tr>
        <w:trPr>
          <w:cantSplit/>
          <w:tblHeader/>
        </w:trPr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 et date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Approuvée par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V1 · 15/11/2026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dirigeant</w:t>
            </w:r>
          </w:p>
        </w:tc>
        <w:tc>
          <w:tcPr>
            <w:tcW w:type="dxa" w:w="3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40" w:before="100"/>
      </w:pPr>
      <w:r>
        <w:rPr>
          <w:rFonts w:ascii="Arial" w:cs="Arial" w:eastAsia="Arial" w:hAnsi="Arial"/>
          <w:color w:val="1A1816"/>
          <w:sz w:val="19"/>
          <w:szCs w:val="19"/>
        </w:rPr>
        <w:t xml:space="preserve">☒  Livret d’accueil     ☒  Affichage     ☒  Réunion annuelle     ☒  Politique qualité     ☐  Clients et fournisseurs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Charte éthique (5.1.1, point i)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éthique (5.1.1, point i)</dc:title>
  <dc:creator>K-li-T</dc:creator>
  <cp:lastModifiedBy>Un-named</cp:lastModifiedBy>
  <cp:revision>1</cp:revision>
  <dcterms:created xsi:type="dcterms:W3CDTF">2026-10-21T09:35:51.101Z</dcterms:created>
  <dcterms:modified xsi:type="dcterms:W3CDTF">2026-10-21T09:35:51.101Z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